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8F76" w14:textId="77777777" w:rsidR="00956832" w:rsidRPr="00F5769E" w:rsidRDefault="00956832">
      <w:pPr>
        <w:spacing w:line="276" w:lineRule="auto"/>
        <w:rPr>
          <w:rFonts w:ascii="Avenir Next LT Pro" w:hAnsi="Avenir Next LT Pro"/>
          <w:lang w:val="nl-NL"/>
        </w:rPr>
      </w:pPr>
    </w:p>
    <w:p w14:paraId="52448F77" w14:textId="77777777" w:rsidR="00956832" w:rsidRPr="00F5769E" w:rsidRDefault="00956832">
      <w:pPr>
        <w:spacing w:line="276" w:lineRule="auto"/>
        <w:rPr>
          <w:rFonts w:ascii="Avenir Next LT Pro" w:hAnsi="Avenir Next LT Pro"/>
          <w:lang w:val="nl-NL"/>
        </w:rPr>
      </w:pPr>
    </w:p>
    <w:p w14:paraId="52448F78" w14:textId="77777777" w:rsidR="00956832" w:rsidRPr="00F5769E" w:rsidRDefault="00956832">
      <w:pPr>
        <w:spacing w:line="276" w:lineRule="auto"/>
        <w:rPr>
          <w:rFonts w:ascii="Avenir Next LT Pro" w:hAnsi="Avenir Next LT Pro"/>
          <w:lang w:val="nl-NL"/>
        </w:rPr>
      </w:pPr>
    </w:p>
    <w:p w14:paraId="52448F79" w14:textId="77777777" w:rsidR="00956832" w:rsidRPr="00F5769E" w:rsidRDefault="00956832">
      <w:pPr>
        <w:spacing w:line="276" w:lineRule="auto"/>
        <w:rPr>
          <w:rFonts w:ascii="Avenir Next LT Pro" w:hAnsi="Avenir Next LT Pro"/>
          <w:lang w:val="nl-NL"/>
        </w:rPr>
      </w:pPr>
    </w:p>
    <w:p w14:paraId="52448F7A" w14:textId="77777777" w:rsidR="00956832" w:rsidRPr="00F5769E" w:rsidRDefault="00956832">
      <w:pPr>
        <w:spacing w:line="276" w:lineRule="auto"/>
        <w:rPr>
          <w:rFonts w:ascii="Avenir Next LT Pro" w:hAnsi="Avenir Next LT Pro"/>
          <w:lang w:val="nl-NL"/>
        </w:rPr>
      </w:pPr>
    </w:p>
    <w:p w14:paraId="52448F7B" w14:textId="77777777" w:rsidR="00956832" w:rsidRPr="00F5769E" w:rsidRDefault="00956832">
      <w:pPr>
        <w:spacing w:line="276" w:lineRule="auto"/>
        <w:rPr>
          <w:rFonts w:ascii="Avenir Next LT Pro" w:hAnsi="Avenir Next LT Pro"/>
          <w:lang w:val="nl-NL"/>
        </w:rPr>
      </w:pPr>
    </w:p>
    <w:p w14:paraId="52448F7C" w14:textId="77777777" w:rsidR="00956832" w:rsidRPr="00F5769E" w:rsidRDefault="00956832">
      <w:pPr>
        <w:spacing w:line="276" w:lineRule="auto"/>
        <w:rPr>
          <w:rFonts w:ascii="Avenir Next LT Pro" w:hAnsi="Avenir Next LT Pro"/>
          <w:lang w:val="nl-NL"/>
        </w:rPr>
      </w:pPr>
    </w:p>
    <w:p w14:paraId="52448F7D" w14:textId="77777777" w:rsidR="00956832" w:rsidRPr="00F5769E" w:rsidRDefault="00956832">
      <w:pPr>
        <w:spacing w:line="276" w:lineRule="auto"/>
        <w:rPr>
          <w:rFonts w:ascii="Avenir Next LT Pro" w:hAnsi="Avenir Next LT Pro"/>
          <w:lang w:val="nl-NL"/>
        </w:rPr>
      </w:pPr>
    </w:p>
    <w:p w14:paraId="52448F7E" w14:textId="77777777" w:rsidR="00956832" w:rsidRPr="00F5769E" w:rsidRDefault="00882DD9">
      <w:pPr>
        <w:spacing w:line="276" w:lineRule="auto"/>
        <w:jc w:val="center"/>
        <w:rPr>
          <w:rFonts w:ascii="Avenir Next LT Pro" w:hAnsi="Avenir Next LT Pro"/>
        </w:rPr>
      </w:pPr>
      <w:r w:rsidRPr="00F5769E">
        <w:rPr>
          <w:rFonts w:ascii="Avenir Next LT Pro" w:hAnsi="Avenir Next LT Pro"/>
          <w:noProof/>
          <w:lang w:val="nl-NL"/>
        </w:rPr>
        <w:drawing>
          <wp:inline distT="0" distB="0" distL="0" distR="0" wp14:anchorId="52448F76" wp14:editId="52448F77">
            <wp:extent cx="3613187" cy="3613187"/>
            <wp:effectExtent l="0" t="0" r="0" b="0"/>
            <wp:docPr id="604312241" name="Picture 1" descr="A logo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13187" cy="3613187"/>
                    </a:xfrm>
                    <a:prstGeom prst="rect">
                      <a:avLst/>
                    </a:prstGeom>
                    <a:noFill/>
                    <a:ln>
                      <a:noFill/>
                      <a:prstDash/>
                    </a:ln>
                  </pic:spPr>
                </pic:pic>
              </a:graphicData>
            </a:graphic>
          </wp:inline>
        </w:drawing>
      </w:r>
    </w:p>
    <w:p w14:paraId="7042DF0B" w14:textId="77777777" w:rsidR="00FA07CC" w:rsidRPr="00FA07CC" w:rsidRDefault="00FA07CC">
      <w:pPr>
        <w:spacing w:line="276" w:lineRule="auto"/>
        <w:jc w:val="center"/>
        <w:rPr>
          <w:rFonts w:ascii="Avenir Next LT Pro" w:hAnsi="Avenir Next LT Pro"/>
          <w:b/>
          <w:bCs/>
          <w:color w:val="96262C"/>
          <w:sz w:val="36"/>
          <w:szCs w:val="36"/>
          <w:lang w:val="nl-NL"/>
        </w:rPr>
      </w:pPr>
      <w:r w:rsidRPr="00FA07CC">
        <w:rPr>
          <w:rFonts w:ascii="Avenir Next LT Pro" w:hAnsi="Avenir Next LT Pro"/>
          <w:b/>
          <w:bCs/>
          <w:color w:val="96262C"/>
          <w:sz w:val="36"/>
          <w:szCs w:val="36"/>
          <w:lang w:val="nl-NL"/>
        </w:rPr>
        <w:t xml:space="preserve">Voorstel Voorlopige Werkwijze </w:t>
      </w:r>
    </w:p>
    <w:p w14:paraId="52448F7F" w14:textId="247E3765" w:rsidR="00956832" w:rsidRPr="00FA07CC" w:rsidRDefault="00FA07CC">
      <w:pPr>
        <w:spacing w:line="276" w:lineRule="auto"/>
        <w:jc w:val="center"/>
        <w:rPr>
          <w:rFonts w:ascii="Avenir Next LT Pro" w:hAnsi="Avenir Next LT Pro"/>
          <w:b/>
          <w:bCs/>
          <w:color w:val="96262C"/>
          <w:sz w:val="36"/>
          <w:szCs w:val="36"/>
          <w:lang w:val="nl-NL"/>
        </w:rPr>
      </w:pPr>
      <w:r w:rsidRPr="00FA07CC">
        <w:rPr>
          <w:rFonts w:ascii="Avenir Next LT Pro" w:hAnsi="Avenir Next LT Pro"/>
          <w:b/>
          <w:bCs/>
          <w:color w:val="96262C"/>
          <w:sz w:val="36"/>
          <w:szCs w:val="36"/>
          <w:lang w:val="nl-NL"/>
        </w:rPr>
        <w:t xml:space="preserve">Externe </w:t>
      </w:r>
      <w:r w:rsidR="006E4E92" w:rsidRPr="00FA07CC">
        <w:rPr>
          <w:rFonts w:ascii="Avenir Next LT Pro" w:hAnsi="Avenir Next LT Pro"/>
          <w:b/>
          <w:bCs/>
          <w:color w:val="96262C"/>
          <w:sz w:val="36"/>
          <w:szCs w:val="36"/>
          <w:lang w:val="nl-NL"/>
        </w:rPr>
        <w:t>Communicatie</w:t>
      </w:r>
      <w:r w:rsidRPr="00FA07CC">
        <w:rPr>
          <w:rFonts w:ascii="Avenir Next LT Pro" w:hAnsi="Avenir Next LT Pro"/>
          <w:b/>
          <w:bCs/>
          <w:color w:val="96262C"/>
          <w:sz w:val="36"/>
          <w:szCs w:val="36"/>
          <w:lang w:val="nl-NL"/>
        </w:rPr>
        <w:t xml:space="preserve"> </w:t>
      </w:r>
    </w:p>
    <w:p w14:paraId="52448F80" w14:textId="77777777" w:rsidR="00956832" w:rsidRPr="00FA07CC" w:rsidRDefault="00956832">
      <w:pPr>
        <w:spacing w:line="276" w:lineRule="auto"/>
        <w:rPr>
          <w:rFonts w:ascii="Avenir Next LT Pro" w:hAnsi="Avenir Next LT Pro"/>
          <w:lang w:val="nl-NL"/>
        </w:rPr>
      </w:pPr>
    </w:p>
    <w:p w14:paraId="52448F82" w14:textId="77777777" w:rsidR="00956832" w:rsidRPr="00FA07CC" w:rsidRDefault="00956832">
      <w:pPr>
        <w:spacing w:line="276" w:lineRule="auto"/>
        <w:rPr>
          <w:rFonts w:ascii="Avenir Next LT Pro" w:hAnsi="Avenir Next LT Pro"/>
          <w:lang w:val="nl-NL"/>
        </w:rPr>
      </w:pPr>
    </w:p>
    <w:p w14:paraId="52448F83" w14:textId="77777777" w:rsidR="00956832" w:rsidRPr="00FA07CC" w:rsidRDefault="00956832">
      <w:pPr>
        <w:spacing w:line="276" w:lineRule="auto"/>
        <w:rPr>
          <w:rFonts w:ascii="Avenir Next LT Pro" w:hAnsi="Avenir Next LT Pro"/>
          <w:lang w:val="nl-NL"/>
        </w:rPr>
      </w:pPr>
    </w:p>
    <w:p w14:paraId="52448F84" w14:textId="77777777" w:rsidR="00956832" w:rsidRPr="00FA07CC" w:rsidRDefault="00956832">
      <w:pPr>
        <w:spacing w:line="276" w:lineRule="auto"/>
        <w:rPr>
          <w:rFonts w:ascii="Avenir Next LT Pro" w:hAnsi="Avenir Next LT Pro"/>
          <w:lang w:val="nl-NL"/>
        </w:rPr>
      </w:pPr>
    </w:p>
    <w:p w14:paraId="52448F85" w14:textId="77777777" w:rsidR="00956832" w:rsidRPr="00FA07CC" w:rsidRDefault="00956832">
      <w:pPr>
        <w:spacing w:line="276" w:lineRule="auto"/>
        <w:rPr>
          <w:rFonts w:ascii="Avenir Next LT Pro" w:hAnsi="Avenir Next LT Pro"/>
          <w:lang w:val="nl-NL"/>
        </w:rPr>
      </w:pPr>
    </w:p>
    <w:p w14:paraId="52448F86" w14:textId="77777777" w:rsidR="00956832" w:rsidRPr="00FA07CC" w:rsidRDefault="00882DD9">
      <w:pPr>
        <w:spacing w:after="0" w:line="276" w:lineRule="auto"/>
        <w:rPr>
          <w:rFonts w:ascii="Avenir Next LT Pro" w:hAnsi="Avenir Next LT Pro"/>
        </w:rPr>
      </w:pP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r w:rsidRPr="00FA07CC">
        <w:rPr>
          <w:rFonts w:ascii="Avenir Next LT Pro" w:hAnsi="Avenir Next LT Pro"/>
          <w:lang w:val="nl-NL"/>
        </w:rPr>
        <w:tab/>
      </w:r>
      <w:proofErr w:type="spellStart"/>
      <w:r w:rsidRPr="00FA07CC">
        <w:rPr>
          <w:rFonts w:ascii="Avenir Next LT Pro" w:hAnsi="Avenir Next LT Pro"/>
        </w:rPr>
        <w:t>Si</w:t>
      </w:r>
      <w:r w:rsidRPr="00FA07CC">
        <w:rPr>
          <w:rFonts w:ascii="Avenir Next LT Pro" w:hAnsi="Avenir Next LT Pro" w:cs="Calibri"/>
        </w:rPr>
        <w:t>ú</w:t>
      </w:r>
      <w:r w:rsidRPr="00FA07CC">
        <w:rPr>
          <w:rFonts w:ascii="Avenir Next LT Pro" w:hAnsi="Avenir Next LT Pro"/>
        </w:rPr>
        <w:t>n</w:t>
      </w:r>
      <w:proofErr w:type="spellEnd"/>
      <w:r w:rsidRPr="00FA07CC">
        <w:rPr>
          <w:rFonts w:ascii="Avenir Next LT Pro" w:hAnsi="Avenir Next LT Pro"/>
        </w:rPr>
        <w:t xml:space="preserve"> O’Keeffe</w:t>
      </w:r>
    </w:p>
    <w:p w14:paraId="52448F87" w14:textId="77777777" w:rsidR="00956832" w:rsidRPr="00FA07CC" w:rsidRDefault="00882DD9">
      <w:pPr>
        <w:spacing w:after="0" w:line="276" w:lineRule="auto"/>
        <w:rPr>
          <w:rFonts w:ascii="Avenir Next LT Pro" w:hAnsi="Avenir Next LT Pro"/>
        </w:rPr>
      </w:pP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t>Specialist</w:t>
      </w:r>
    </w:p>
    <w:p w14:paraId="52448F88" w14:textId="77777777" w:rsidR="00956832" w:rsidRPr="00FA07CC" w:rsidRDefault="00882DD9">
      <w:pPr>
        <w:spacing w:after="0" w:line="276" w:lineRule="auto"/>
        <w:rPr>
          <w:rFonts w:ascii="Avenir Next LT Pro" w:hAnsi="Avenir Next LT Pro"/>
        </w:rPr>
      </w:pP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t>1st draft</w:t>
      </w:r>
    </w:p>
    <w:p w14:paraId="52448F89" w14:textId="46D5A8B0" w:rsidR="00956832" w:rsidRPr="00F5769E" w:rsidRDefault="00882DD9">
      <w:pPr>
        <w:spacing w:after="0" w:line="276" w:lineRule="auto"/>
        <w:rPr>
          <w:rFonts w:ascii="Avenir Next LT Pro" w:hAnsi="Avenir Next LT Pro"/>
          <w:lang w:val="nl-NL"/>
        </w:rPr>
      </w:pP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Pr="00FA07CC">
        <w:rPr>
          <w:rFonts w:ascii="Avenir Next LT Pro" w:hAnsi="Avenir Next LT Pro"/>
        </w:rPr>
        <w:tab/>
      </w:r>
      <w:r w:rsidR="00FA07CC">
        <w:rPr>
          <w:rFonts w:ascii="Avenir Next LT Pro" w:hAnsi="Avenir Next LT Pro"/>
        </w:rPr>
        <w:t>13</w:t>
      </w:r>
      <w:r w:rsidRPr="00F5769E">
        <w:rPr>
          <w:rFonts w:ascii="Avenir Next LT Pro" w:hAnsi="Avenir Next LT Pro"/>
          <w:lang w:val="nl-NL"/>
        </w:rPr>
        <w:t xml:space="preserve"> </w:t>
      </w:r>
      <w:r w:rsidR="00765153" w:rsidRPr="00F5769E">
        <w:rPr>
          <w:rFonts w:ascii="Avenir Next LT Pro" w:hAnsi="Avenir Next LT Pro"/>
          <w:lang w:val="nl-NL"/>
        </w:rPr>
        <w:t>december</w:t>
      </w:r>
      <w:r w:rsidRPr="00F5769E">
        <w:rPr>
          <w:rFonts w:ascii="Avenir Next LT Pro" w:hAnsi="Avenir Next LT Pro"/>
          <w:lang w:val="nl-NL"/>
        </w:rPr>
        <w:t xml:space="preserve"> 2024</w:t>
      </w:r>
    </w:p>
    <w:p w14:paraId="52448F8C" w14:textId="47D461E3" w:rsidR="00956832" w:rsidRPr="00393AD9" w:rsidRDefault="00FA07CC" w:rsidP="003C43D0">
      <w:pPr>
        <w:pStyle w:val="Heading1"/>
        <w:rPr>
          <w:rFonts w:ascii="Avenir Next LT Pro" w:hAnsi="Avenir Next LT Pro"/>
          <w:color w:val="96262C"/>
        </w:rPr>
      </w:pPr>
      <w:bookmarkStart w:id="0" w:name="_Toc188623596"/>
      <w:proofErr w:type="spellStart"/>
      <w:r>
        <w:rPr>
          <w:rFonts w:ascii="Avenir Next LT Pro" w:hAnsi="Avenir Next LT Pro"/>
          <w:color w:val="96262C"/>
        </w:rPr>
        <w:lastRenderedPageBreak/>
        <w:t>Inhoud</w:t>
      </w:r>
      <w:bookmarkEnd w:id="0"/>
      <w:proofErr w:type="spellEnd"/>
    </w:p>
    <w:p w14:paraId="431F5C33" w14:textId="017DCC23" w:rsidR="00FA07CC" w:rsidRDefault="00882DD9">
      <w:pPr>
        <w:pStyle w:val="TOC1"/>
        <w:tabs>
          <w:tab w:val="left" w:pos="440"/>
          <w:tab w:val="right" w:leader="dot" w:pos="10456"/>
        </w:tabs>
        <w:rPr>
          <w:rFonts w:asciiTheme="minorHAnsi" w:eastAsiaTheme="minorEastAsia" w:hAnsiTheme="minorHAnsi" w:cstheme="minorBidi"/>
          <w:noProof/>
          <w:kern w:val="2"/>
          <w:sz w:val="24"/>
          <w:szCs w:val="24"/>
          <w14:ligatures w14:val="standardContextual"/>
        </w:rPr>
      </w:pPr>
      <w:r w:rsidRPr="00F5769E">
        <w:rPr>
          <w:rFonts w:ascii="Avenir Next LT Pro" w:hAnsi="Avenir Next LT Pro"/>
          <w:b/>
          <w:bCs/>
          <w:smallCaps/>
          <w:color w:val="000000"/>
          <w:sz w:val="36"/>
          <w:szCs w:val="36"/>
        </w:rPr>
        <w:fldChar w:fldCharType="begin"/>
      </w:r>
      <w:r w:rsidRPr="00F5769E">
        <w:rPr>
          <w:rFonts w:ascii="Avenir Next LT Pro" w:hAnsi="Avenir Next LT Pro"/>
        </w:rPr>
        <w:instrText xml:space="preserve"> TOC \o "1-3" \u \h </w:instrText>
      </w:r>
      <w:r w:rsidRPr="00F5769E">
        <w:rPr>
          <w:rFonts w:ascii="Avenir Next LT Pro" w:hAnsi="Avenir Next LT Pro"/>
          <w:b/>
          <w:bCs/>
          <w:smallCaps/>
          <w:color w:val="000000"/>
          <w:sz w:val="36"/>
          <w:szCs w:val="36"/>
        </w:rPr>
        <w:fldChar w:fldCharType="separate"/>
      </w:r>
      <w:hyperlink w:anchor="_Toc188623596" w:history="1">
        <w:r w:rsidR="00FA07CC" w:rsidRPr="00AD5752">
          <w:rPr>
            <w:rStyle w:val="Hyperlink"/>
            <w:rFonts w:ascii="Avenir Next LT Pro" w:hAnsi="Avenir Next LT Pro"/>
            <w:noProof/>
          </w:rPr>
          <w:t>1</w:t>
        </w:r>
        <w:r w:rsidR="00FA07CC">
          <w:rPr>
            <w:rFonts w:asciiTheme="minorHAnsi" w:eastAsiaTheme="minorEastAsia" w:hAnsiTheme="minorHAnsi" w:cstheme="minorBidi"/>
            <w:noProof/>
            <w:kern w:val="2"/>
            <w:sz w:val="24"/>
            <w:szCs w:val="24"/>
            <w14:ligatures w14:val="standardContextual"/>
          </w:rPr>
          <w:tab/>
        </w:r>
        <w:r w:rsidR="00FA07CC" w:rsidRPr="00AD5752">
          <w:rPr>
            <w:rStyle w:val="Hyperlink"/>
            <w:rFonts w:ascii="Avenir Next LT Pro" w:hAnsi="Avenir Next LT Pro"/>
            <w:noProof/>
          </w:rPr>
          <w:t>Inhoud</w:t>
        </w:r>
        <w:r w:rsidR="00FA07CC">
          <w:rPr>
            <w:noProof/>
          </w:rPr>
          <w:tab/>
        </w:r>
        <w:r w:rsidR="00FA07CC">
          <w:rPr>
            <w:noProof/>
          </w:rPr>
          <w:fldChar w:fldCharType="begin"/>
        </w:r>
        <w:r w:rsidR="00FA07CC">
          <w:rPr>
            <w:noProof/>
          </w:rPr>
          <w:instrText xml:space="preserve"> PAGEREF _Toc188623596 \h </w:instrText>
        </w:r>
        <w:r w:rsidR="00FA07CC">
          <w:rPr>
            <w:noProof/>
          </w:rPr>
        </w:r>
        <w:r w:rsidR="00FA07CC">
          <w:rPr>
            <w:noProof/>
          </w:rPr>
          <w:fldChar w:fldCharType="separate"/>
        </w:r>
        <w:r w:rsidR="00FA07CC">
          <w:rPr>
            <w:noProof/>
          </w:rPr>
          <w:t>2</w:t>
        </w:r>
        <w:r w:rsidR="00FA07CC">
          <w:rPr>
            <w:noProof/>
          </w:rPr>
          <w:fldChar w:fldCharType="end"/>
        </w:r>
      </w:hyperlink>
    </w:p>
    <w:p w14:paraId="2520DD7B" w14:textId="5F453698" w:rsidR="00FA07CC" w:rsidRDefault="00FA07CC">
      <w:pPr>
        <w:pStyle w:val="TOC1"/>
        <w:tabs>
          <w:tab w:val="left" w:pos="440"/>
          <w:tab w:val="right" w:leader="dot" w:pos="10456"/>
        </w:tabs>
        <w:rPr>
          <w:rFonts w:asciiTheme="minorHAnsi" w:eastAsiaTheme="minorEastAsia" w:hAnsiTheme="minorHAnsi" w:cstheme="minorBidi"/>
          <w:noProof/>
          <w:kern w:val="2"/>
          <w:sz w:val="24"/>
          <w:szCs w:val="24"/>
          <w14:ligatures w14:val="standardContextual"/>
        </w:rPr>
      </w:pPr>
      <w:hyperlink w:anchor="_Toc188623597" w:history="1">
        <w:r w:rsidRPr="00AD5752">
          <w:rPr>
            <w:rStyle w:val="Hyperlink"/>
            <w:rFonts w:ascii="Avenir Next LT Pro" w:hAnsi="Avenir Next LT Pro"/>
            <w:noProof/>
          </w:rPr>
          <w:t>2</w:t>
        </w:r>
        <w:r>
          <w:rPr>
            <w:rFonts w:asciiTheme="minorHAnsi" w:eastAsiaTheme="minorEastAsia" w:hAnsiTheme="minorHAnsi" w:cstheme="minorBidi"/>
            <w:noProof/>
            <w:kern w:val="2"/>
            <w:sz w:val="24"/>
            <w:szCs w:val="24"/>
            <w14:ligatures w14:val="standardContextual"/>
          </w:rPr>
          <w:tab/>
        </w:r>
        <w:r w:rsidRPr="00AD5752">
          <w:rPr>
            <w:rStyle w:val="Hyperlink"/>
            <w:rFonts w:ascii="Avenir Next LT Pro" w:hAnsi="Avenir Next LT Pro"/>
            <w:noProof/>
          </w:rPr>
          <w:t>Inleiding</w:t>
        </w:r>
        <w:r>
          <w:rPr>
            <w:noProof/>
          </w:rPr>
          <w:tab/>
        </w:r>
        <w:r>
          <w:rPr>
            <w:noProof/>
          </w:rPr>
          <w:fldChar w:fldCharType="begin"/>
        </w:r>
        <w:r>
          <w:rPr>
            <w:noProof/>
          </w:rPr>
          <w:instrText xml:space="preserve"> PAGEREF _Toc188623597 \h </w:instrText>
        </w:r>
        <w:r>
          <w:rPr>
            <w:noProof/>
          </w:rPr>
        </w:r>
        <w:r>
          <w:rPr>
            <w:noProof/>
          </w:rPr>
          <w:fldChar w:fldCharType="separate"/>
        </w:r>
        <w:r>
          <w:rPr>
            <w:noProof/>
          </w:rPr>
          <w:t>3</w:t>
        </w:r>
        <w:r>
          <w:rPr>
            <w:noProof/>
          </w:rPr>
          <w:fldChar w:fldCharType="end"/>
        </w:r>
      </w:hyperlink>
    </w:p>
    <w:p w14:paraId="78DD8010" w14:textId="2325435E" w:rsidR="00FA07CC" w:rsidRDefault="00FA07CC">
      <w:pPr>
        <w:pStyle w:val="TOC1"/>
        <w:tabs>
          <w:tab w:val="left" w:pos="440"/>
          <w:tab w:val="right" w:leader="dot" w:pos="10456"/>
        </w:tabs>
        <w:rPr>
          <w:rFonts w:asciiTheme="minorHAnsi" w:eastAsiaTheme="minorEastAsia" w:hAnsiTheme="minorHAnsi" w:cstheme="minorBidi"/>
          <w:noProof/>
          <w:kern w:val="2"/>
          <w:sz w:val="24"/>
          <w:szCs w:val="24"/>
          <w14:ligatures w14:val="standardContextual"/>
        </w:rPr>
      </w:pPr>
      <w:hyperlink w:anchor="_Toc188623598" w:history="1">
        <w:r w:rsidRPr="00AD5752">
          <w:rPr>
            <w:rStyle w:val="Hyperlink"/>
            <w:rFonts w:ascii="Avenir Next LT Pro" w:hAnsi="Avenir Next LT Pro"/>
            <w:noProof/>
            <w:lang w:val="nl-NL"/>
          </w:rPr>
          <w:t>3</w:t>
        </w:r>
        <w:r>
          <w:rPr>
            <w:rFonts w:asciiTheme="minorHAnsi" w:eastAsiaTheme="minorEastAsia" w:hAnsiTheme="minorHAnsi" w:cstheme="minorBidi"/>
            <w:noProof/>
            <w:kern w:val="2"/>
            <w:sz w:val="24"/>
            <w:szCs w:val="24"/>
            <w14:ligatures w14:val="standardContextual"/>
          </w:rPr>
          <w:tab/>
        </w:r>
        <w:r w:rsidRPr="00AD5752">
          <w:rPr>
            <w:rStyle w:val="Hyperlink"/>
            <w:rFonts w:ascii="Avenir Next LT Pro" w:hAnsi="Avenir Next LT Pro"/>
            <w:noProof/>
            <w:lang w:val="nl-NL"/>
          </w:rPr>
          <w:t>Algemene uitgangspunten</w:t>
        </w:r>
        <w:r>
          <w:rPr>
            <w:noProof/>
          </w:rPr>
          <w:tab/>
        </w:r>
        <w:r>
          <w:rPr>
            <w:noProof/>
          </w:rPr>
          <w:fldChar w:fldCharType="begin"/>
        </w:r>
        <w:r>
          <w:rPr>
            <w:noProof/>
          </w:rPr>
          <w:instrText xml:space="preserve"> PAGEREF _Toc188623598 \h </w:instrText>
        </w:r>
        <w:r>
          <w:rPr>
            <w:noProof/>
          </w:rPr>
        </w:r>
        <w:r>
          <w:rPr>
            <w:noProof/>
          </w:rPr>
          <w:fldChar w:fldCharType="separate"/>
        </w:r>
        <w:r>
          <w:rPr>
            <w:noProof/>
          </w:rPr>
          <w:t>3</w:t>
        </w:r>
        <w:r>
          <w:rPr>
            <w:noProof/>
          </w:rPr>
          <w:fldChar w:fldCharType="end"/>
        </w:r>
      </w:hyperlink>
    </w:p>
    <w:p w14:paraId="6486D17C" w14:textId="367C29D4" w:rsidR="00FA07CC" w:rsidRDefault="00FA07CC">
      <w:pPr>
        <w:pStyle w:val="TOC1"/>
        <w:tabs>
          <w:tab w:val="left" w:pos="440"/>
          <w:tab w:val="right" w:leader="dot" w:pos="10456"/>
        </w:tabs>
        <w:rPr>
          <w:rFonts w:asciiTheme="minorHAnsi" w:eastAsiaTheme="minorEastAsia" w:hAnsiTheme="minorHAnsi" w:cstheme="minorBidi"/>
          <w:noProof/>
          <w:kern w:val="2"/>
          <w:sz w:val="24"/>
          <w:szCs w:val="24"/>
          <w14:ligatures w14:val="standardContextual"/>
        </w:rPr>
      </w:pPr>
      <w:hyperlink w:anchor="_Toc188623599" w:history="1">
        <w:r w:rsidRPr="00AD5752">
          <w:rPr>
            <w:rStyle w:val="Hyperlink"/>
            <w:rFonts w:ascii="Avenir Next LT Pro" w:hAnsi="Avenir Next LT Pro"/>
            <w:noProof/>
            <w:lang w:val="nl-NL"/>
          </w:rPr>
          <w:t>4</w:t>
        </w:r>
        <w:r>
          <w:rPr>
            <w:rFonts w:asciiTheme="minorHAnsi" w:eastAsiaTheme="minorEastAsia" w:hAnsiTheme="minorHAnsi" w:cstheme="minorBidi"/>
            <w:noProof/>
            <w:kern w:val="2"/>
            <w:sz w:val="24"/>
            <w:szCs w:val="24"/>
            <w14:ligatures w14:val="standardContextual"/>
          </w:rPr>
          <w:tab/>
        </w:r>
        <w:r w:rsidRPr="00AD5752">
          <w:rPr>
            <w:rStyle w:val="Hyperlink"/>
            <w:rFonts w:ascii="Avenir Next LT Pro" w:hAnsi="Avenir Next LT Pro"/>
            <w:noProof/>
            <w:lang w:val="nl-NL"/>
          </w:rPr>
          <w:t>Openbaarmaking beschikkingen en andere besluiten</w:t>
        </w:r>
        <w:r>
          <w:rPr>
            <w:noProof/>
          </w:rPr>
          <w:tab/>
        </w:r>
        <w:r>
          <w:rPr>
            <w:noProof/>
          </w:rPr>
          <w:fldChar w:fldCharType="begin"/>
        </w:r>
        <w:r>
          <w:rPr>
            <w:noProof/>
          </w:rPr>
          <w:instrText xml:space="preserve"> PAGEREF _Toc188623599 \h </w:instrText>
        </w:r>
        <w:r>
          <w:rPr>
            <w:noProof/>
          </w:rPr>
        </w:r>
        <w:r>
          <w:rPr>
            <w:noProof/>
          </w:rPr>
          <w:fldChar w:fldCharType="separate"/>
        </w:r>
        <w:r>
          <w:rPr>
            <w:noProof/>
          </w:rPr>
          <w:t>4</w:t>
        </w:r>
        <w:r>
          <w:rPr>
            <w:noProof/>
          </w:rPr>
          <w:fldChar w:fldCharType="end"/>
        </w:r>
      </w:hyperlink>
    </w:p>
    <w:p w14:paraId="231F5CA3" w14:textId="04A6E254" w:rsidR="00FA07CC" w:rsidRDefault="00FA07CC">
      <w:pPr>
        <w:pStyle w:val="TOC1"/>
        <w:tabs>
          <w:tab w:val="left" w:pos="440"/>
          <w:tab w:val="right" w:leader="dot" w:pos="10456"/>
        </w:tabs>
        <w:rPr>
          <w:rFonts w:asciiTheme="minorHAnsi" w:eastAsiaTheme="minorEastAsia" w:hAnsiTheme="minorHAnsi" w:cstheme="minorBidi"/>
          <w:noProof/>
          <w:kern w:val="2"/>
          <w:sz w:val="24"/>
          <w:szCs w:val="24"/>
          <w14:ligatures w14:val="standardContextual"/>
        </w:rPr>
      </w:pPr>
      <w:hyperlink w:anchor="_Toc188623600" w:history="1">
        <w:r w:rsidRPr="00AD5752">
          <w:rPr>
            <w:rStyle w:val="Hyperlink"/>
            <w:rFonts w:ascii="Avenir Next LT Pro" w:hAnsi="Avenir Next LT Pro"/>
            <w:noProof/>
            <w:lang w:val="nl-NL"/>
          </w:rPr>
          <w:t>5</w:t>
        </w:r>
        <w:r>
          <w:rPr>
            <w:rFonts w:asciiTheme="minorHAnsi" w:eastAsiaTheme="minorEastAsia" w:hAnsiTheme="minorHAnsi" w:cstheme="minorBidi"/>
            <w:noProof/>
            <w:kern w:val="2"/>
            <w:sz w:val="24"/>
            <w:szCs w:val="24"/>
            <w14:ligatures w14:val="standardContextual"/>
          </w:rPr>
          <w:tab/>
        </w:r>
        <w:r w:rsidRPr="00AD5752">
          <w:rPr>
            <w:rStyle w:val="Hyperlink"/>
            <w:rFonts w:ascii="Avenir Next LT Pro" w:hAnsi="Avenir Next LT Pro"/>
            <w:noProof/>
            <w:lang w:val="nl-NL"/>
          </w:rPr>
          <w:t>Persberichten</w:t>
        </w:r>
        <w:r>
          <w:rPr>
            <w:noProof/>
          </w:rPr>
          <w:tab/>
        </w:r>
        <w:r>
          <w:rPr>
            <w:noProof/>
          </w:rPr>
          <w:fldChar w:fldCharType="begin"/>
        </w:r>
        <w:r>
          <w:rPr>
            <w:noProof/>
          </w:rPr>
          <w:instrText xml:space="preserve"> PAGEREF _Toc188623600 \h </w:instrText>
        </w:r>
        <w:r>
          <w:rPr>
            <w:noProof/>
          </w:rPr>
        </w:r>
        <w:r>
          <w:rPr>
            <w:noProof/>
          </w:rPr>
          <w:fldChar w:fldCharType="separate"/>
        </w:r>
        <w:r>
          <w:rPr>
            <w:noProof/>
          </w:rPr>
          <w:t>5</w:t>
        </w:r>
        <w:r>
          <w:rPr>
            <w:noProof/>
          </w:rPr>
          <w:fldChar w:fldCharType="end"/>
        </w:r>
      </w:hyperlink>
    </w:p>
    <w:p w14:paraId="0531A3D9" w14:textId="5D9A35D7" w:rsidR="00FA07CC" w:rsidRDefault="00FA07CC">
      <w:pPr>
        <w:pStyle w:val="TOC1"/>
        <w:tabs>
          <w:tab w:val="left" w:pos="440"/>
          <w:tab w:val="right" w:leader="dot" w:pos="10456"/>
        </w:tabs>
        <w:rPr>
          <w:rFonts w:asciiTheme="minorHAnsi" w:eastAsiaTheme="minorEastAsia" w:hAnsiTheme="minorHAnsi" w:cstheme="minorBidi"/>
          <w:noProof/>
          <w:kern w:val="2"/>
          <w:sz w:val="24"/>
          <w:szCs w:val="24"/>
          <w14:ligatures w14:val="standardContextual"/>
        </w:rPr>
      </w:pPr>
      <w:hyperlink w:anchor="_Toc188623601" w:history="1">
        <w:r w:rsidRPr="00AD5752">
          <w:rPr>
            <w:rStyle w:val="Hyperlink"/>
            <w:rFonts w:ascii="Avenir Next LT Pro" w:hAnsi="Avenir Next LT Pro"/>
            <w:noProof/>
            <w:lang w:val="nl-NL"/>
          </w:rPr>
          <w:t>6</w:t>
        </w:r>
        <w:r>
          <w:rPr>
            <w:rFonts w:asciiTheme="minorHAnsi" w:eastAsiaTheme="minorEastAsia" w:hAnsiTheme="minorHAnsi" w:cstheme="minorBidi"/>
            <w:noProof/>
            <w:kern w:val="2"/>
            <w:sz w:val="24"/>
            <w:szCs w:val="24"/>
            <w14:ligatures w14:val="standardContextual"/>
          </w:rPr>
          <w:tab/>
        </w:r>
        <w:r w:rsidRPr="00AD5752">
          <w:rPr>
            <w:rStyle w:val="Hyperlink"/>
            <w:rFonts w:ascii="Avenir Next LT Pro" w:hAnsi="Avenir Next LT Pro"/>
            <w:noProof/>
            <w:lang w:val="nl-NL"/>
          </w:rPr>
          <w:t>Slotbepalingen</w:t>
        </w:r>
        <w:r>
          <w:rPr>
            <w:noProof/>
          </w:rPr>
          <w:tab/>
        </w:r>
        <w:r>
          <w:rPr>
            <w:noProof/>
          </w:rPr>
          <w:fldChar w:fldCharType="begin"/>
        </w:r>
        <w:r>
          <w:rPr>
            <w:noProof/>
          </w:rPr>
          <w:instrText xml:space="preserve"> PAGEREF _Toc188623601 \h </w:instrText>
        </w:r>
        <w:r>
          <w:rPr>
            <w:noProof/>
          </w:rPr>
        </w:r>
        <w:r>
          <w:rPr>
            <w:noProof/>
          </w:rPr>
          <w:fldChar w:fldCharType="separate"/>
        </w:r>
        <w:r>
          <w:rPr>
            <w:noProof/>
          </w:rPr>
          <w:t>5</w:t>
        </w:r>
        <w:r>
          <w:rPr>
            <w:noProof/>
          </w:rPr>
          <w:fldChar w:fldCharType="end"/>
        </w:r>
      </w:hyperlink>
    </w:p>
    <w:p w14:paraId="52448FB0" w14:textId="5C676C02" w:rsidR="00956832" w:rsidRPr="00F5769E" w:rsidRDefault="00882DD9">
      <w:pPr>
        <w:rPr>
          <w:rFonts w:ascii="Avenir Next LT Pro" w:hAnsi="Avenir Next LT Pro"/>
        </w:rPr>
      </w:pPr>
      <w:r w:rsidRPr="00F5769E">
        <w:rPr>
          <w:rFonts w:ascii="Avenir Next LT Pro" w:hAnsi="Avenir Next LT Pro"/>
        </w:rPr>
        <w:fldChar w:fldCharType="end"/>
      </w:r>
    </w:p>
    <w:p w14:paraId="52448FB1" w14:textId="77777777" w:rsidR="00956832" w:rsidRPr="00F5769E" w:rsidRDefault="00956832">
      <w:pPr>
        <w:spacing w:line="276" w:lineRule="auto"/>
        <w:rPr>
          <w:rFonts w:ascii="Avenir Next LT Pro" w:hAnsi="Avenir Next LT Pro"/>
        </w:rPr>
      </w:pPr>
    </w:p>
    <w:p w14:paraId="52448FB2" w14:textId="77777777" w:rsidR="00956832" w:rsidRPr="00F5769E" w:rsidRDefault="00956832">
      <w:pPr>
        <w:spacing w:line="276" w:lineRule="auto"/>
        <w:rPr>
          <w:rFonts w:ascii="Avenir Next LT Pro" w:hAnsi="Avenir Next LT Pro"/>
        </w:rPr>
      </w:pPr>
    </w:p>
    <w:p w14:paraId="52448FB3" w14:textId="77777777" w:rsidR="00956832" w:rsidRPr="00F5769E" w:rsidRDefault="00956832">
      <w:pPr>
        <w:spacing w:line="276" w:lineRule="auto"/>
        <w:rPr>
          <w:rFonts w:ascii="Avenir Next LT Pro" w:hAnsi="Avenir Next LT Pro"/>
        </w:rPr>
      </w:pPr>
    </w:p>
    <w:p w14:paraId="52448FB4" w14:textId="77777777" w:rsidR="00956832" w:rsidRPr="00F5769E" w:rsidRDefault="00956832">
      <w:pPr>
        <w:spacing w:line="276" w:lineRule="auto"/>
        <w:rPr>
          <w:rFonts w:ascii="Avenir Next LT Pro" w:hAnsi="Avenir Next LT Pro"/>
        </w:rPr>
      </w:pPr>
    </w:p>
    <w:p w14:paraId="52448FB5" w14:textId="77777777" w:rsidR="00956832" w:rsidRPr="00F5769E" w:rsidRDefault="00956832">
      <w:pPr>
        <w:spacing w:line="276" w:lineRule="auto"/>
        <w:rPr>
          <w:rFonts w:ascii="Avenir Next LT Pro" w:hAnsi="Avenir Next LT Pro"/>
        </w:rPr>
      </w:pPr>
    </w:p>
    <w:p w14:paraId="52448FB6" w14:textId="77777777" w:rsidR="00956832" w:rsidRPr="00F5769E" w:rsidRDefault="00956832">
      <w:pPr>
        <w:spacing w:line="276" w:lineRule="auto"/>
        <w:rPr>
          <w:rFonts w:ascii="Avenir Next LT Pro" w:hAnsi="Avenir Next LT Pro"/>
        </w:rPr>
      </w:pPr>
    </w:p>
    <w:p w14:paraId="52448FB7" w14:textId="77777777" w:rsidR="00956832" w:rsidRPr="00F5769E" w:rsidRDefault="00956832">
      <w:pPr>
        <w:spacing w:line="276" w:lineRule="auto"/>
        <w:rPr>
          <w:rFonts w:ascii="Avenir Next LT Pro" w:hAnsi="Avenir Next LT Pro"/>
        </w:rPr>
      </w:pPr>
    </w:p>
    <w:p w14:paraId="52448FB8" w14:textId="77777777" w:rsidR="00956832" w:rsidRPr="00F5769E" w:rsidRDefault="00956832">
      <w:pPr>
        <w:spacing w:line="276" w:lineRule="auto"/>
        <w:rPr>
          <w:rFonts w:ascii="Avenir Next LT Pro" w:hAnsi="Avenir Next LT Pro"/>
        </w:rPr>
      </w:pPr>
    </w:p>
    <w:p w14:paraId="52448FB9" w14:textId="77777777" w:rsidR="00956832" w:rsidRPr="00F5769E" w:rsidRDefault="00956832">
      <w:pPr>
        <w:spacing w:line="276" w:lineRule="auto"/>
        <w:rPr>
          <w:rFonts w:ascii="Avenir Next LT Pro" w:hAnsi="Avenir Next LT Pro"/>
        </w:rPr>
      </w:pPr>
    </w:p>
    <w:p w14:paraId="52448FBA" w14:textId="77777777" w:rsidR="00956832" w:rsidRPr="00F5769E" w:rsidRDefault="00956832">
      <w:pPr>
        <w:spacing w:line="276" w:lineRule="auto"/>
        <w:rPr>
          <w:rFonts w:ascii="Avenir Next LT Pro" w:hAnsi="Avenir Next LT Pro"/>
        </w:rPr>
      </w:pPr>
    </w:p>
    <w:p w14:paraId="52448FBB" w14:textId="77777777" w:rsidR="00956832" w:rsidRPr="00F5769E" w:rsidRDefault="00956832">
      <w:pPr>
        <w:spacing w:line="276" w:lineRule="auto"/>
        <w:rPr>
          <w:rFonts w:ascii="Avenir Next LT Pro" w:hAnsi="Avenir Next LT Pro"/>
        </w:rPr>
      </w:pPr>
    </w:p>
    <w:p w14:paraId="52448FBC" w14:textId="77777777" w:rsidR="00956832" w:rsidRPr="00F5769E" w:rsidRDefault="00956832">
      <w:pPr>
        <w:spacing w:line="276" w:lineRule="auto"/>
        <w:rPr>
          <w:rFonts w:ascii="Avenir Next LT Pro" w:hAnsi="Avenir Next LT Pro"/>
        </w:rPr>
      </w:pPr>
    </w:p>
    <w:p w14:paraId="52448FBD" w14:textId="77777777" w:rsidR="00956832" w:rsidRPr="00F5769E" w:rsidRDefault="00956832">
      <w:pPr>
        <w:spacing w:line="276" w:lineRule="auto"/>
        <w:rPr>
          <w:rFonts w:ascii="Avenir Next LT Pro" w:hAnsi="Avenir Next LT Pro"/>
        </w:rPr>
      </w:pPr>
    </w:p>
    <w:p w14:paraId="52448FBE" w14:textId="77777777" w:rsidR="00956832" w:rsidRPr="00F5769E" w:rsidRDefault="00956832">
      <w:pPr>
        <w:spacing w:line="276" w:lineRule="auto"/>
        <w:rPr>
          <w:rFonts w:ascii="Avenir Next LT Pro" w:hAnsi="Avenir Next LT Pro"/>
        </w:rPr>
      </w:pPr>
    </w:p>
    <w:p w14:paraId="52448FBF" w14:textId="77777777" w:rsidR="00956832" w:rsidRDefault="00956832">
      <w:pPr>
        <w:spacing w:line="276" w:lineRule="auto"/>
        <w:rPr>
          <w:rFonts w:ascii="Avenir Next LT Pro" w:hAnsi="Avenir Next LT Pro"/>
        </w:rPr>
      </w:pPr>
    </w:p>
    <w:p w14:paraId="2BD06815" w14:textId="77777777" w:rsidR="00FA07CC" w:rsidRDefault="00FA07CC">
      <w:pPr>
        <w:spacing w:line="276" w:lineRule="auto"/>
        <w:rPr>
          <w:rFonts w:ascii="Avenir Next LT Pro" w:hAnsi="Avenir Next LT Pro"/>
        </w:rPr>
      </w:pPr>
    </w:p>
    <w:p w14:paraId="44869811" w14:textId="77777777" w:rsidR="00FA07CC" w:rsidRPr="00F5769E" w:rsidRDefault="00FA07CC">
      <w:pPr>
        <w:spacing w:line="276" w:lineRule="auto"/>
        <w:rPr>
          <w:rFonts w:ascii="Avenir Next LT Pro" w:hAnsi="Avenir Next LT Pro"/>
        </w:rPr>
      </w:pPr>
    </w:p>
    <w:p w14:paraId="52448FC0" w14:textId="77777777" w:rsidR="00956832" w:rsidRPr="00F5769E" w:rsidRDefault="00956832">
      <w:pPr>
        <w:spacing w:line="276" w:lineRule="auto"/>
        <w:rPr>
          <w:rFonts w:ascii="Avenir Next LT Pro" w:hAnsi="Avenir Next LT Pro"/>
        </w:rPr>
      </w:pPr>
    </w:p>
    <w:p w14:paraId="2E07EC68" w14:textId="1AAE2405" w:rsidR="00765153" w:rsidRPr="007762C3" w:rsidRDefault="00FA07CC" w:rsidP="00FA07CC">
      <w:pPr>
        <w:pStyle w:val="Heading1"/>
        <w:spacing w:before="0"/>
        <w:rPr>
          <w:rFonts w:ascii="Avenir Next LT Pro" w:hAnsi="Avenir Next LT Pro"/>
          <w:color w:val="96262C"/>
        </w:rPr>
      </w:pPr>
      <w:bookmarkStart w:id="1" w:name="_Toc188623597"/>
      <w:proofErr w:type="spellStart"/>
      <w:r>
        <w:rPr>
          <w:rFonts w:ascii="Avenir Next LT Pro" w:hAnsi="Avenir Next LT Pro"/>
          <w:color w:val="96262C"/>
        </w:rPr>
        <w:lastRenderedPageBreak/>
        <w:t>Inleiding</w:t>
      </w:r>
      <w:bookmarkEnd w:id="1"/>
      <w:proofErr w:type="spellEnd"/>
    </w:p>
    <w:p w14:paraId="2FE58BD8" w14:textId="77777777" w:rsidR="00FA07CC" w:rsidRPr="00A77636" w:rsidRDefault="00FA07CC" w:rsidP="00FA07CC">
      <w:pPr>
        <w:jc w:val="both"/>
        <w:rPr>
          <w:rFonts w:ascii="Avenir Next LT Pro" w:hAnsi="Avenir Next LT Pro" w:cs="Arial"/>
          <w:lang w:val="nl-NL"/>
        </w:rPr>
      </w:pPr>
      <w:bookmarkStart w:id="2" w:name="_Hlk183004844"/>
      <w:r w:rsidRPr="00A77636">
        <w:rPr>
          <w:rFonts w:ascii="Avenir Next LT Pro" w:hAnsi="Avenir Next LT Pro" w:cs="Arial"/>
          <w:lang w:val="nl-NL"/>
        </w:rPr>
        <w:t>De AFTA is belast met het toezicht op de naleving door ondernemingen van de Mededingingsverordening (AB 2020 no. 103). Deze werkwijze geeft inzicht in de wijze waarop de AFTA</w:t>
      </w:r>
      <w:r>
        <w:rPr>
          <w:rFonts w:ascii="Avenir Next LT Pro" w:hAnsi="Avenir Next LT Pro" w:cs="Arial"/>
          <w:lang w:val="nl-NL"/>
        </w:rPr>
        <w:t xml:space="preserve"> extern communiceert over werkzaamheden die zij verricht </w:t>
      </w:r>
      <w:r w:rsidRPr="00A77636">
        <w:rPr>
          <w:rFonts w:ascii="Avenir Next LT Pro" w:hAnsi="Avenir Next LT Pro" w:cs="Arial"/>
          <w:lang w:val="nl-NL"/>
        </w:rPr>
        <w:t>in het kader van de aan haar opgedragen taken.</w:t>
      </w:r>
      <w:r w:rsidRPr="00A77636">
        <w:rPr>
          <w:rStyle w:val="FootnoteAnchor"/>
          <w:rFonts w:ascii="Avenir Next LT Pro" w:hAnsi="Avenir Next LT Pro" w:cs="Arial"/>
        </w:rPr>
        <w:footnoteReference w:id="1"/>
      </w:r>
      <w:r w:rsidRPr="00A77636">
        <w:rPr>
          <w:rFonts w:ascii="Avenir Next LT Pro" w:hAnsi="Avenir Next LT Pro" w:cs="Arial"/>
          <w:lang w:val="nl-NL"/>
        </w:rPr>
        <w:t xml:space="preserve"> </w:t>
      </w:r>
      <w:bookmarkEnd w:id="2"/>
    </w:p>
    <w:p w14:paraId="1432B24A" w14:textId="77777777" w:rsidR="00FA07CC" w:rsidRPr="00A77636" w:rsidRDefault="00FA07CC" w:rsidP="00FA07CC">
      <w:pPr>
        <w:jc w:val="both"/>
        <w:rPr>
          <w:rFonts w:ascii="Avenir Next LT Pro" w:hAnsi="Avenir Next LT Pro" w:cs="Arial"/>
          <w:lang w:val="nl-NL"/>
        </w:rPr>
      </w:pPr>
      <w:r w:rsidRPr="00A77636">
        <w:rPr>
          <w:rFonts w:ascii="Avenir Next LT Pro" w:hAnsi="Avenir Next LT Pro" w:cs="Arial"/>
          <w:lang w:val="nl-NL"/>
        </w:rPr>
        <w:t xml:space="preserve">In de Memorie van Toelichting </w:t>
      </w:r>
      <w:r>
        <w:rPr>
          <w:rFonts w:ascii="Avenir Next LT Pro" w:hAnsi="Avenir Next LT Pro" w:cs="Arial"/>
          <w:lang w:val="nl-NL"/>
        </w:rPr>
        <w:t xml:space="preserve">bij de Mededingingsverordening </w:t>
      </w:r>
      <w:r w:rsidRPr="00A77636">
        <w:rPr>
          <w:rFonts w:ascii="Avenir Next LT Pro" w:hAnsi="Avenir Next LT Pro" w:cs="Arial"/>
          <w:lang w:val="nl-NL"/>
        </w:rPr>
        <w:t xml:space="preserve">staat dat op het opleggen van alle bestuurlijke sancties de algemene beginselen van behoorlijk bestuur van toepassing zijn. Transparantie en openheid zijn cruciale aspecten van behoorlijk bestuur. Het is belangrijk dat de AFTA duidelijk </w:t>
      </w:r>
      <w:r>
        <w:rPr>
          <w:rFonts w:ascii="Avenir Next LT Pro" w:hAnsi="Avenir Next LT Pro" w:cs="Arial"/>
          <w:lang w:val="nl-NL"/>
        </w:rPr>
        <w:t xml:space="preserve">extern </w:t>
      </w:r>
      <w:r w:rsidRPr="00A77636">
        <w:rPr>
          <w:rFonts w:ascii="Avenir Next LT Pro" w:hAnsi="Avenir Next LT Pro" w:cs="Arial"/>
          <w:lang w:val="nl-NL"/>
        </w:rPr>
        <w:t xml:space="preserve">communiceert over </w:t>
      </w:r>
      <w:r>
        <w:rPr>
          <w:rFonts w:ascii="Avenir Next LT Pro" w:hAnsi="Avenir Next LT Pro" w:cs="Arial"/>
          <w:lang w:val="nl-NL"/>
        </w:rPr>
        <w:t>de werkzaamheden die zij verricht in het kader van haar taakuitoefening en over de inhoud van haar</w:t>
      </w:r>
      <w:r w:rsidRPr="00A77636">
        <w:rPr>
          <w:rFonts w:ascii="Avenir Next LT Pro" w:hAnsi="Avenir Next LT Pro" w:cs="Arial"/>
          <w:lang w:val="nl-NL"/>
        </w:rPr>
        <w:t xml:space="preserve"> beschikkingen</w:t>
      </w:r>
      <w:r>
        <w:rPr>
          <w:rFonts w:ascii="Avenir Next LT Pro" w:hAnsi="Avenir Next LT Pro" w:cs="Arial"/>
          <w:lang w:val="nl-NL"/>
        </w:rPr>
        <w:t>, alsmede de wijze waarop deze tot stand zijn gekomen</w:t>
      </w:r>
      <w:r w:rsidRPr="00A77636">
        <w:rPr>
          <w:rFonts w:ascii="Avenir Next LT Pro" w:hAnsi="Avenir Next LT Pro" w:cs="Arial"/>
          <w:lang w:val="nl-NL"/>
        </w:rPr>
        <w:t xml:space="preserve">. Ten eerste omdat </w:t>
      </w:r>
      <w:r>
        <w:rPr>
          <w:rFonts w:ascii="Avenir Next LT Pro" w:hAnsi="Avenir Next LT Pro" w:cs="Arial"/>
          <w:lang w:val="nl-NL"/>
        </w:rPr>
        <w:t>externe communicatie</w:t>
      </w:r>
      <w:r w:rsidRPr="00A77636">
        <w:rPr>
          <w:rFonts w:ascii="Avenir Next LT Pro" w:hAnsi="Avenir Next LT Pro" w:cs="Arial"/>
          <w:lang w:val="nl-NL"/>
        </w:rPr>
        <w:t xml:space="preserve"> ervoor zorgt dat burgers </w:t>
      </w:r>
      <w:r>
        <w:rPr>
          <w:rFonts w:ascii="Avenir Next LT Pro" w:hAnsi="Avenir Next LT Pro" w:cs="Arial"/>
          <w:lang w:val="nl-NL"/>
        </w:rPr>
        <w:t xml:space="preserve">en ondernemingen </w:t>
      </w:r>
      <w:r w:rsidRPr="00A77636">
        <w:rPr>
          <w:rFonts w:ascii="Avenir Next LT Pro" w:hAnsi="Avenir Next LT Pro" w:cs="Arial"/>
          <w:lang w:val="nl-NL"/>
        </w:rPr>
        <w:t xml:space="preserve">inzicht krijgen in </w:t>
      </w:r>
      <w:r>
        <w:rPr>
          <w:rFonts w:ascii="Avenir Next LT Pro" w:hAnsi="Avenir Next LT Pro" w:cs="Arial"/>
          <w:lang w:val="nl-NL"/>
        </w:rPr>
        <w:t xml:space="preserve">wat AFTA doet als uit publieke middelen gefinancierde onafhankelijke organisatie </w:t>
      </w:r>
      <w:r w:rsidRPr="00A77636">
        <w:rPr>
          <w:rFonts w:ascii="Avenir Next LT Pro" w:hAnsi="Avenir Next LT Pro" w:cs="Arial"/>
          <w:lang w:val="nl-NL"/>
        </w:rPr>
        <w:t xml:space="preserve">. Ten tweede omdat toezicht niet effectief is, tenzij </w:t>
      </w:r>
      <w:r>
        <w:rPr>
          <w:rFonts w:ascii="Avenir Next LT Pro" w:hAnsi="Avenir Next LT Pro" w:cs="Arial"/>
          <w:lang w:val="nl-NL"/>
        </w:rPr>
        <w:t>ondernemingen vanuit het oogpunt van algemene preventie op de hoogte zijn van de werkzaamheden van de AFTA en de beschikkingen die zij neemt, en burgers en andere ondernemingen weten op welke wijze hun belangen worden behartigd als benadeelden van overtredingen van de Mededingingsverordening</w:t>
      </w:r>
      <w:r w:rsidRPr="00A77636">
        <w:rPr>
          <w:rFonts w:ascii="Avenir Next LT Pro" w:hAnsi="Avenir Next LT Pro" w:cs="Arial"/>
          <w:lang w:val="nl-NL"/>
        </w:rPr>
        <w:t>.</w:t>
      </w:r>
    </w:p>
    <w:p w14:paraId="77EE8C08" w14:textId="77777777" w:rsidR="00FA07CC" w:rsidRDefault="00FA07CC" w:rsidP="00FA07CC">
      <w:pPr>
        <w:spacing w:after="0"/>
        <w:jc w:val="both"/>
        <w:rPr>
          <w:rFonts w:ascii="Avenir Next LT Pro" w:hAnsi="Avenir Next LT Pro" w:cs="Arial"/>
          <w:lang w:val="nl-NL"/>
        </w:rPr>
      </w:pPr>
      <w:r w:rsidRPr="00A77636">
        <w:rPr>
          <w:rFonts w:ascii="Avenir Next LT Pro" w:hAnsi="Avenir Next LT Pro" w:cs="Arial"/>
          <w:lang w:val="nl-NL"/>
        </w:rPr>
        <w:t xml:space="preserve">De AFTA neemt </w:t>
      </w:r>
      <w:r>
        <w:rPr>
          <w:rFonts w:ascii="Avenir Next LT Pro" w:hAnsi="Avenir Next LT Pro" w:cs="Arial"/>
          <w:lang w:val="nl-NL"/>
        </w:rPr>
        <w:t xml:space="preserve">daarnaast </w:t>
      </w:r>
      <w:r w:rsidRPr="00A77636">
        <w:rPr>
          <w:rFonts w:ascii="Avenir Next LT Pro" w:hAnsi="Avenir Next LT Pro" w:cs="Arial"/>
          <w:lang w:val="nl-NL"/>
        </w:rPr>
        <w:t xml:space="preserve">de regels in acht over openbaarmaking in de Landsverordening houdende regels inzake de openbaarheid van bestuur </w:t>
      </w:r>
      <w:r>
        <w:rPr>
          <w:rFonts w:ascii="Avenir Next LT Pro" w:hAnsi="Avenir Next LT Pro" w:cs="Arial"/>
          <w:lang w:val="nl-NL"/>
        </w:rPr>
        <w:t>(AB 1999 no. 12) en de regels over geheimhouding die voortvloeien uit de Mededingingsverordening</w:t>
      </w:r>
      <w:r w:rsidRPr="00A77636">
        <w:rPr>
          <w:rFonts w:ascii="Avenir Next LT Pro" w:hAnsi="Avenir Next LT Pro" w:cs="Arial"/>
          <w:lang w:val="nl-NL"/>
        </w:rPr>
        <w:t>.</w:t>
      </w:r>
    </w:p>
    <w:p w14:paraId="63B9A6B2" w14:textId="77777777" w:rsidR="00FA07CC" w:rsidRPr="00A77636" w:rsidRDefault="00FA07CC" w:rsidP="00FA07CC">
      <w:pPr>
        <w:spacing w:after="0"/>
        <w:jc w:val="both"/>
        <w:rPr>
          <w:rFonts w:ascii="Avenir Next LT Pro" w:hAnsi="Avenir Next LT Pro" w:cs="Arial"/>
          <w:lang w:val="nl-NL"/>
        </w:rPr>
      </w:pPr>
    </w:p>
    <w:p w14:paraId="52448FC4" w14:textId="3E559AD8" w:rsidR="00956832" w:rsidRDefault="00FA07CC" w:rsidP="00FA07CC">
      <w:pPr>
        <w:pStyle w:val="Heading1"/>
        <w:spacing w:before="0"/>
        <w:rPr>
          <w:rFonts w:ascii="Avenir Next LT Pro" w:hAnsi="Avenir Next LT Pro"/>
          <w:color w:val="96262C"/>
          <w:lang w:val="nl-NL"/>
        </w:rPr>
      </w:pPr>
      <w:bookmarkStart w:id="3" w:name="_Toc188623598"/>
      <w:r>
        <w:rPr>
          <w:rFonts w:ascii="Avenir Next LT Pro" w:hAnsi="Avenir Next LT Pro"/>
          <w:color w:val="96262C"/>
          <w:lang w:val="nl-NL"/>
        </w:rPr>
        <w:t>Algemene uitgangspunten</w:t>
      </w:r>
      <w:bookmarkEnd w:id="3"/>
    </w:p>
    <w:p w14:paraId="75DD64A7" w14:textId="77777777" w:rsidR="00FA07CC" w:rsidRPr="00A77636" w:rsidRDefault="00FA07CC" w:rsidP="00FA07CC">
      <w:pPr>
        <w:pStyle w:val="ListParagraph"/>
        <w:numPr>
          <w:ilvl w:val="0"/>
          <w:numId w:val="21"/>
        </w:numPr>
        <w:autoSpaceDN/>
        <w:spacing w:line="276" w:lineRule="auto"/>
        <w:jc w:val="both"/>
        <w:rPr>
          <w:rFonts w:ascii="Avenir Next LT Pro" w:hAnsi="Avenir Next LT Pro" w:cs="Arial"/>
          <w:lang w:val="nl-NL"/>
        </w:rPr>
      </w:pPr>
      <w:r w:rsidRPr="00A77636">
        <w:rPr>
          <w:rFonts w:ascii="Avenir Next LT Pro" w:hAnsi="Avenir Next LT Pro" w:cs="Arial"/>
          <w:lang w:val="nl-NL"/>
        </w:rPr>
        <w:t xml:space="preserve">De AFTA </w:t>
      </w:r>
      <w:r>
        <w:rPr>
          <w:rFonts w:ascii="Avenir Next LT Pro" w:hAnsi="Avenir Next LT Pro" w:cs="Arial"/>
          <w:lang w:val="nl-NL"/>
        </w:rPr>
        <w:t>handelt</w:t>
      </w:r>
      <w:r w:rsidRPr="00A77636">
        <w:rPr>
          <w:rFonts w:ascii="Avenir Next LT Pro" w:hAnsi="Avenir Next LT Pro" w:cs="Arial"/>
          <w:lang w:val="nl-NL"/>
        </w:rPr>
        <w:t xml:space="preserve"> bij de uitvoering van </w:t>
      </w:r>
      <w:r>
        <w:rPr>
          <w:rFonts w:ascii="Avenir Next LT Pro" w:hAnsi="Avenir Next LT Pro" w:cs="Arial"/>
          <w:lang w:val="nl-NL"/>
        </w:rPr>
        <w:t xml:space="preserve">de aan </w:t>
      </w:r>
      <w:r w:rsidRPr="00A77636">
        <w:rPr>
          <w:rFonts w:ascii="Avenir Next LT Pro" w:hAnsi="Avenir Next LT Pro" w:cs="Arial"/>
          <w:lang w:val="nl-NL"/>
        </w:rPr>
        <w:t xml:space="preserve">haar </w:t>
      </w:r>
      <w:r>
        <w:rPr>
          <w:rFonts w:ascii="Avenir Next LT Pro" w:hAnsi="Avenir Next LT Pro" w:cs="Arial"/>
          <w:lang w:val="nl-NL"/>
        </w:rPr>
        <w:t>opgedragen</w:t>
      </w:r>
      <w:r w:rsidRPr="00A77636">
        <w:rPr>
          <w:rFonts w:ascii="Avenir Next LT Pro" w:hAnsi="Avenir Next LT Pro" w:cs="Arial"/>
          <w:lang w:val="nl-NL"/>
        </w:rPr>
        <w:t xml:space="preserve"> taken zo </w:t>
      </w:r>
      <w:r>
        <w:rPr>
          <w:rFonts w:ascii="Avenir Next LT Pro" w:hAnsi="Avenir Next LT Pro" w:cs="Arial"/>
          <w:lang w:val="nl-NL"/>
        </w:rPr>
        <w:t>transparant mogelijk</w:t>
      </w:r>
      <w:r w:rsidRPr="00A77636">
        <w:rPr>
          <w:rFonts w:ascii="Avenir Next LT Pro" w:hAnsi="Avenir Next LT Pro" w:cs="Arial"/>
          <w:lang w:val="nl-NL"/>
        </w:rPr>
        <w:t xml:space="preserve">, met inachtneming van </w:t>
      </w:r>
      <w:r>
        <w:rPr>
          <w:rFonts w:ascii="Avenir Next LT Pro" w:hAnsi="Avenir Next LT Pro" w:cs="Arial"/>
          <w:lang w:val="nl-NL"/>
        </w:rPr>
        <w:t>de op haar rustende verplichtingen en de rechten van derden</w:t>
      </w:r>
      <w:r w:rsidRPr="00A77636">
        <w:rPr>
          <w:rFonts w:ascii="Avenir Next LT Pro" w:hAnsi="Avenir Next LT Pro" w:cs="Arial"/>
          <w:lang w:val="nl-NL"/>
        </w:rPr>
        <w:t>.</w:t>
      </w:r>
    </w:p>
    <w:p w14:paraId="496B5926" w14:textId="77777777" w:rsidR="00FA07CC" w:rsidRPr="00A77636" w:rsidRDefault="00FA07CC" w:rsidP="00FA07CC">
      <w:pPr>
        <w:pStyle w:val="ListParagraph"/>
        <w:numPr>
          <w:ilvl w:val="0"/>
          <w:numId w:val="21"/>
        </w:numPr>
        <w:autoSpaceDN/>
        <w:spacing w:line="276" w:lineRule="auto"/>
        <w:jc w:val="both"/>
        <w:rPr>
          <w:rFonts w:ascii="Avenir Next LT Pro" w:hAnsi="Avenir Next LT Pro" w:cs="Arial"/>
          <w:lang w:val="nl-NL"/>
        </w:rPr>
      </w:pPr>
      <w:r w:rsidRPr="00A77636">
        <w:rPr>
          <w:rFonts w:ascii="Avenir Next LT Pro" w:hAnsi="Avenir Next LT Pro" w:cs="Arial"/>
          <w:lang w:val="nl-NL"/>
        </w:rPr>
        <w:t>De AFTA maakt via haar website (</w:t>
      </w:r>
      <w:hyperlink r:id="rId9">
        <w:r w:rsidRPr="00A77636">
          <w:rPr>
            <w:rStyle w:val="Hyperlink"/>
            <w:rFonts w:ascii="Avenir Next LT Pro" w:hAnsi="Avenir Next LT Pro" w:cs="Arial"/>
            <w:lang w:val="nl-NL"/>
          </w:rPr>
          <w:t>www.afta.aw</w:t>
        </w:r>
      </w:hyperlink>
      <w:r w:rsidRPr="00A77636">
        <w:rPr>
          <w:rFonts w:ascii="Avenir Next LT Pro" w:hAnsi="Avenir Next LT Pro" w:cs="Arial"/>
          <w:lang w:val="nl-NL"/>
        </w:rPr>
        <w:t>) haar bes</w:t>
      </w:r>
      <w:r>
        <w:rPr>
          <w:rFonts w:ascii="Avenir Next LT Pro" w:hAnsi="Avenir Next LT Pro" w:cs="Arial"/>
          <w:lang w:val="nl-NL"/>
        </w:rPr>
        <w:t>chikkingen</w:t>
      </w:r>
      <w:r w:rsidRPr="00A77636">
        <w:rPr>
          <w:rFonts w:ascii="Avenir Next LT Pro" w:hAnsi="Avenir Next LT Pro" w:cs="Arial"/>
          <w:lang w:val="nl-NL"/>
        </w:rPr>
        <w:t xml:space="preserve"> en andere documenten openbaar. </w:t>
      </w:r>
    </w:p>
    <w:p w14:paraId="3647D1A9" w14:textId="77777777" w:rsidR="00FA07CC" w:rsidRPr="00A77636" w:rsidRDefault="00FA07CC" w:rsidP="00FA07CC">
      <w:pPr>
        <w:pStyle w:val="ListParagraph"/>
        <w:numPr>
          <w:ilvl w:val="0"/>
          <w:numId w:val="21"/>
        </w:numPr>
        <w:autoSpaceDN/>
        <w:spacing w:line="276" w:lineRule="auto"/>
        <w:jc w:val="both"/>
        <w:rPr>
          <w:rFonts w:ascii="Avenir Next LT Pro" w:hAnsi="Avenir Next LT Pro" w:cs="Arial"/>
          <w:lang w:val="nl-NL"/>
        </w:rPr>
      </w:pPr>
      <w:r w:rsidRPr="00A77636">
        <w:rPr>
          <w:rFonts w:ascii="Avenir Next LT Pro" w:hAnsi="Avenir Next LT Pro" w:cs="Arial"/>
          <w:lang w:val="nl-NL"/>
        </w:rPr>
        <w:t>Een bes</w:t>
      </w:r>
      <w:r>
        <w:rPr>
          <w:rFonts w:ascii="Avenir Next LT Pro" w:hAnsi="Avenir Next LT Pro" w:cs="Arial"/>
          <w:lang w:val="nl-NL"/>
        </w:rPr>
        <w:t>chikking</w:t>
      </w:r>
      <w:r w:rsidRPr="00A77636">
        <w:rPr>
          <w:rFonts w:ascii="Avenir Next LT Pro" w:hAnsi="Avenir Next LT Pro" w:cs="Arial"/>
          <w:lang w:val="nl-NL"/>
        </w:rPr>
        <w:t xml:space="preserve"> maakt de AFTA pas </w:t>
      </w:r>
      <w:r>
        <w:rPr>
          <w:rFonts w:ascii="Avenir Next LT Pro" w:hAnsi="Avenir Next LT Pro" w:cs="Arial"/>
          <w:lang w:val="nl-NL"/>
        </w:rPr>
        <w:t xml:space="preserve">openbaar </w:t>
      </w:r>
      <w:r w:rsidRPr="00A77636">
        <w:rPr>
          <w:rFonts w:ascii="Avenir Next LT Pro" w:hAnsi="Avenir Next LT Pro" w:cs="Arial"/>
          <w:lang w:val="nl-NL"/>
        </w:rPr>
        <w:t>na bekendmaking daarvan aan de geadresseerde. Bij de openbaarmaking van een bes</w:t>
      </w:r>
      <w:r>
        <w:rPr>
          <w:rFonts w:ascii="Avenir Next LT Pro" w:hAnsi="Avenir Next LT Pro" w:cs="Arial"/>
          <w:lang w:val="nl-NL"/>
        </w:rPr>
        <w:t>chikking</w:t>
      </w:r>
      <w:r w:rsidRPr="00A77636">
        <w:rPr>
          <w:rFonts w:ascii="Avenir Next LT Pro" w:hAnsi="Avenir Next LT Pro" w:cs="Arial"/>
          <w:lang w:val="nl-NL"/>
        </w:rPr>
        <w:t xml:space="preserve"> vermeldt de AFTA </w:t>
      </w:r>
      <w:r>
        <w:rPr>
          <w:rFonts w:ascii="Avenir Next LT Pro" w:hAnsi="Avenir Next LT Pro" w:cs="Arial"/>
          <w:lang w:val="nl-NL"/>
        </w:rPr>
        <w:t>als hiertegen rechtsmiddelen kunnen worden ingesteld</w:t>
      </w:r>
      <w:r w:rsidRPr="00A77636">
        <w:rPr>
          <w:rFonts w:ascii="Avenir Next LT Pro" w:hAnsi="Avenir Next LT Pro" w:cs="Arial"/>
          <w:lang w:val="nl-NL"/>
        </w:rPr>
        <w:t xml:space="preserve">. </w:t>
      </w:r>
    </w:p>
    <w:p w14:paraId="53CF9EFF" w14:textId="77777777" w:rsidR="00FA07CC" w:rsidRDefault="00FA07CC" w:rsidP="00FA07CC">
      <w:pPr>
        <w:pStyle w:val="ListParagraph"/>
        <w:numPr>
          <w:ilvl w:val="0"/>
          <w:numId w:val="21"/>
        </w:numPr>
        <w:autoSpaceDN/>
        <w:spacing w:line="276" w:lineRule="auto"/>
        <w:jc w:val="both"/>
        <w:rPr>
          <w:rFonts w:ascii="Avenir Next LT Pro" w:hAnsi="Avenir Next LT Pro" w:cs="Arial"/>
          <w:lang w:val="nl-NL"/>
        </w:rPr>
      </w:pPr>
      <w:r w:rsidRPr="00A77636">
        <w:rPr>
          <w:rFonts w:ascii="Avenir Next LT Pro" w:hAnsi="Avenir Next LT Pro" w:cs="Arial"/>
          <w:lang w:val="nl-NL"/>
        </w:rPr>
        <w:t xml:space="preserve">De AFTA kan </w:t>
      </w:r>
      <w:r>
        <w:rPr>
          <w:rFonts w:ascii="Avenir Next LT Pro" w:hAnsi="Avenir Next LT Pro" w:cs="Arial"/>
          <w:lang w:val="nl-NL"/>
        </w:rPr>
        <w:t xml:space="preserve">extern </w:t>
      </w:r>
      <w:r w:rsidRPr="00A77636">
        <w:rPr>
          <w:rFonts w:ascii="Avenir Next LT Pro" w:hAnsi="Avenir Next LT Pro" w:cs="Arial"/>
          <w:lang w:val="nl-NL"/>
        </w:rPr>
        <w:t xml:space="preserve">communiceren over </w:t>
      </w:r>
      <w:r>
        <w:rPr>
          <w:rFonts w:ascii="Avenir Next LT Pro" w:hAnsi="Avenir Next LT Pro" w:cs="Arial"/>
          <w:lang w:val="nl-NL"/>
        </w:rPr>
        <w:t>genomen</w:t>
      </w:r>
      <w:r w:rsidRPr="00A77636">
        <w:rPr>
          <w:rFonts w:ascii="Avenir Next LT Pro" w:hAnsi="Avenir Next LT Pro" w:cs="Arial"/>
          <w:lang w:val="nl-NL"/>
        </w:rPr>
        <w:t xml:space="preserve"> bes</w:t>
      </w:r>
      <w:r>
        <w:rPr>
          <w:rFonts w:ascii="Avenir Next LT Pro" w:hAnsi="Avenir Next LT Pro" w:cs="Arial"/>
          <w:lang w:val="nl-NL"/>
        </w:rPr>
        <w:t>chikkingen</w:t>
      </w:r>
      <w:r w:rsidRPr="00A77636">
        <w:rPr>
          <w:rFonts w:ascii="Avenir Next LT Pro" w:hAnsi="Avenir Next LT Pro" w:cs="Arial"/>
          <w:lang w:val="nl-NL"/>
        </w:rPr>
        <w:t xml:space="preserve">, onderzoeken, afgelegde bedrijfsbezoeken </w:t>
      </w:r>
      <w:r>
        <w:rPr>
          <w:rFonts w:ascii="Avenir Next LT Pro" w:hAnsi="Avenir Next LT Pro" w:cs="Arial"/>
          <w:lang w:val="nl-NL"/>
        </w:rPr>
        <w:t>en</w:t>
      </w:r>
      <w:r w:rsidRPr="00A77636">
        <w:rPr>
          <w:rFonts w:ascii="Avenir Next LT Pro" w:hAnsi="Avenir Next LT Pro" w:cs="Arial"/>
          <w:lang w:val="nl-NL"/>
        </w:rPr>
        <w:t xml:space="preserve"> andere werkzaamheden. In geval van een bedrijfsbezoek maakt de AFTA in beginsel niet de namen bekend van de bij het bedrijfsbezoek betrokken partijen. </w:t>
      </w:r>
    </w:p>
    <w:p w14:paraId="7C43057A" w14:textId="22DEAE40" w:rsidR="00FA07CC" w:rsidRPr="00A77636" w:rsidRDefault="00FA07CC" w:rsidP="00FA07CC">
      <w:pPr>
        <w:pStyle w:val="ListParagraph"/>
        <w:autoSpaceDN/>
        <w:spacing w:line="276" w:lineRule="auto"/>
        <w:jc w:val="both"/>
        <w:rPr>
          <w:rFonts w:ascii="Avenir Next LT Pro" w:hAnsi="Avenir Next LT Pro" w:cs="Arial"/>
          <w:lang w:val="nl-NL"/>
        </w:rPr>
      </w:pPr>
      <w:r w:rsidRPr="00A77636">
        <w:rPr>
          <w:rFonts w:ascii="Avenir Next LT Pro" w:hAnsi="Avenir Next LT Pro" w:cs="Arial"/>
          <w:lang w:val="nl-NL"/>
        </w:rPr>
        <w:lastRenderedPageBreak/>
        <w:t>De AFTA kan hiervan afwijken, bijvoorbeeld indien de informatie al op andere wijze in de openbaarheid is gekomen en/of indien het niet noemen van die namen tot onwenselijke speculaties kan leiden over de betrokkenheid van partijen.</w:t>
      </w:r>
    </w:p>
    <w:p w14:paraId="3236054B" w14:textId="77777777" w:rsidR="00FA07CC" w:rsidRPr="00A77636" w:rsidRDefault="00FA07CC" w:rsidP="00FA07CC">
      <w:pPr>
        <w:pStyle w:val="ListParagraph"/>
        <w:numPr>
          <w:ilvl w:val="0"/>
          <w:numId w:val="21"/>
        </w:numPr>
        <w:autoSpaceDN/>
        <w:spacing w:line="276" w:lineRule="auto"/>
        <w:jc w:val="both"/>
        <w:rPr>
          <w:rFonts w:ascii="Avenir Next LT Pro" w:hAnsi="Avenir Next LT Pro" w:cs="Arial"/>
          <w:lang w:val="nl-NL"/>
        </w:rPr>
      </w:pPr>
      <w:r w:rsidRPr="00A77636">
        <w:rPr>
          <w:rFonts w:ascii="Avenir Next LT Pro" w:hAnsi="Avenir Next LT Pro" w:cs="Arial"/>
          <w:lang w:val="nl-NL"/>
        </w:rPr>
        <w:t>De AFTA maakt boeterapporten in de zin van Artikel 6.6. van de M</w:t>
      </w:r>
      <w:r>
        <w:rPr>
          <w:rFonts w:ascii="Avenir Next LT Pro" w:hAnsi="Avenir Next LT Pro" w:cs="Arial"/>
          <w:lang w:val="nl-NL"/>
        </w:rPr>
        <w:t>ededingings</w:t>
      </w:r>
      <w:r w:rsidRPr="00A77636">
        <w:rPr>
          <w:rFonts w:ascii="Avenir Next LT Pro" w:hAnsi="Avenir Next LT Pro" w:cs="Arial"/>
          <w:lang w:val="nl-NL"/>
        </w:rPr>
        <w:t xml:space="preserve">verordening niet openbaar. De AFTA kan hiervan afwijken, bijvoorbeeld indien het boeterapport al </w:t>
      </w:r>
      <w:r>
        <w:rPr>
          <w:rFonts w:ascii="Avenir Next LT Pro" w:hAnsi="Avenir Next LT Pro" w:cs="Arial"/>
          <w:lang w:val="nl-NL"/>
        </w:rPr>
        <w:t xml:space="preserve">door partijen via de pers of </w:t>
      </w:r>
      <w:r w:rsidRPr="00A77636">
        <w:rPr>
          <w:rFonts w:ascii="Avenir Next LT Pro" w:hAnsi="Avenir Next LT Pro" w:cs="Arial"/>
          <w:lang w:val="nl-NL"/>
        </w:rPr>
        <w:t>op andere wijze in de openbaarheid is gekomen en/of om ongewenste speculaties te voorkomen.</w:t>
      </w:r>
    </w:p>
    <w:p w14:paraId="0633374E" w14:textId="43F98C04" w:rsidR="00FA07CC" w:rsidRPr="00FA07CC" w:rsidRDefault="00FA07CC" w:rsidP="00FA07CC">
      <w:pPr>
        <w:pStyle w:val="ListParagraph"/>
        <w:numPr>
          <w:ilvl w:val="0"/>
          <w:numId w:val="21"/>
        </w:numPr>
        <w:autoSpaceDN/>
        <w:spacing w:after="0" w:line="276" w:lineRule="auto"/>
        <w:jc w:val="both"/>
        <w:rPr>
          <w:lang w:val="nl-NL"/>
        </w:rPr>
      </w:pPr>
      <w:r w:rsidRPr="00FA07CC">
        <w:rPr>
          <w:rFonts w:ascii="Avenir Next LT Pro" w:hAnsi="Avenir Next LT Pro" w:cs="Arial"/>
          <w:lang w:val="nl-NL"/>
        </w:rPr>
        <w:t xml:space="preserve">Externe publicaties van de AFTA worden geschoond van in haar ogen vertrouwelijke informatie, rekening houden met artikel 8 van de </w:t>
      </w:r>
      <w:bookmarkStart w:id="4" w:name="_Hlk182927636"/>
      <w:r w:rsidRPr="00FA07CC">
        <w:rPr>
          <w:rFonts w:ascii="Avenir Next LT Pro" w:hAnsi="Avenir Next LT Pro" w:cs="Arial"/>
          <w:lang w:val="nl-NL"/>
        </w:rPr>
        <w:t>Landsverordening houdende regels inzake de openbaarheid van bestuur</w:t>
      </w:r>
      <w:bookmarkEnd w:id="4"/>
      <w:r w:rsidRPr="00FA07CC">
        <w:rPr>
          <w:rFonts w:ascii="Avenir Next LT Pro" w:hAnsi="Avenir Next LT Pro" w:cs="Arial"/>
          <w:lang w:val="nl-NL"/>
        </w:rPr>
        <w:t xml:space="preserve"> en de verplichtingen die voorvloeien uit de Mededingingsverordening. Belanghebbenden kunnen, wanneer daarvoor aanleiding bestaat, vooraf in de gelegenheid worden gesteld om aan te geven welke informatie zij vertrouwelijk achten.</w:t>
      </w:r>
    </w:p>
    <w:p w14:paraId="45C95CE8" w14:textId="77777777" w:rsidR="00FA07CC" w:rsidRPr="00FA07CC" w:rsidRDefault="00FA07CC" w:rsidP="00FA07CC">
      <w:pPr>
        <w:autoSpaceDN/>
        <w:spacing w:after="0" w:line="276" w:lineRule="auto"/>
        <w:jc w:val="both"/>
        <w:rPr>
          <w:lang w:val="nl-NL"/>
        </w:rPr>
      </w:pPr>
    </w:p>
    <w:p w14:paraId="26F4741E" w14:textId="21FFFFDD" w:rsidR="00931057" w:rsidRPr="00393AD9" w:rsidRDefault="00FA07CC" w:rsidP="00FA07CC">
      <w:pPr>
        <w:pStyle w:val="Heading1"/>
        <w:spacing w:before="0"/>
        <w:rPr>
          <w:rFonts w:ascii="Avenir Next LT Pro" w:hAnsi="Avenir Next LT Pro"/>
          <w:color w:val="96262C"/>
          <w:lang w:val="nl-NL"/>
        </w:rPr>
      </w:pPr>
      <w:bookmarkStart w:id="5" w:name="_Toc188623599"/>
      <w:r>
        <w:rPr>
          <w:rFonts w:ascii="Avenir Next LT Pro" w:hAnsi="Avenir Next LT Pro"/>
          <w:color w:val="96262C"/>
          <w:lang w:val="nl-NL"/>
        </w:rPr>
        <w:t>Openbaarmaking beschikkingen en andere besluiten</w:t>
      </w:r>
      <w:bookmarkEnd w:id="5"/>
    </w:p>
    <w:p w14:paraId="19B89871" w14:textId="77777777" w:rsidR="00FA07CC" w:rsidRPr="00A77636" w:rsidRDefault="00FA07CC" w:rsidP="00FA07CC">
      <w:pPr>
        <w:pStyle w:val="ListParagraph"/>
        <w:numPr>
          <w:ilvl w:val="0"/>
          <w:numId w:val="22"/>
        </w:numPr>
        <w:autoSpaceDN/>
        <w:spacing w:line="276" w:lineRule="auto"/>
        <w:jc w:val="both"/>
        <w:rPr>
          <w:rFonts w:ascii="Avenir Next LT Pro" w:hAnsi="Avenir Next LT Pro" w:cs="Arial"/>
        </w:rPr>
      </w:pPr>
      <w:r w:rsidRPr="00A77636">
        <w:rPr>
          <w:rFonts w:ascii="Avenir Next LT Pro" w:hAnsi="Avenir Next LT Pro" w:cs="Arial"/>
          <w:lang w:val="nl-NL"/>
        </w:rPr>
        <w:t xml:space="preserve">De AFTA maakt een beschikking omtrent het opleggen van een bestuurlijke sanctie, een last onder dwangsom of een bindende aanwijzing openbaar. </w:t>
      </w:r>
      <w:proofErr w:type="spellStart"/>
      <w:r w:rsidRPr="00A77636">
        <w:rPr>
          <w:rFonts w:ascii="Avenir Next LT Pro" w:hAnsi="Avenir Next LT Pro" w:cs="Arial"/>
        </w:rPr>
        <w:t>Darnaast</w:t>
      </w:r>
      <w:proofErr w:type="spellEnd"/>
      <w:r w:rsidRPr="00A77636">
        <w:rPr>
          <w:rFonts w:ascii="Avenir Next LT Pro" w:hAnsi="Avenir Next LT Pro" w:cs="Arial"/>
        </w:rPr>
        <w:t xml:space="preserve"> </w:t>
      </w:r>
      <w:proofErr w:type="spellStart"/>
      <w:r w:rsidRPr="00A77636">
        <w:rPr>
          <w:rFonts w:ascii="Avenir Next LT Pro" w:hAnsi="Avenir Next LT Pro" w:cs="Arial"/>
        </w:rPr>
        <w:t>kan</w:t>
      </w:r>
      <w:proofErr w:type="spellEnd"/>
      <w:r w:rsidRPr="00A77636">
        <w:rPr>
          <w:rFonts w:ascii="Avenir Next LT Pro" w:hAnsi="Avenir Next LT Pro" w:cs="Arial"/>
        </w:rPr>
        <w:t xml:space="preserve"> de AFTA </w:t>
      </w:r>
      <w:proofErr w:type="spellStart"/>
      <w:r w:rsidRPr="00A77636">
        <w:rPr>
          <w:rFonts w:ascii="Avenir Next LT Pro" w:hAnsi="Avenir Next LT Pro" w:cs="Arial"/>
        </w:rPr>
        <w:t>andere</w:t>
      </w:r>
      <w:proofErr w:type="spellEnd"/>
      <w:r w:rsidRPr="00A77636">
        <w:rPr>
          <w:rFonts w:ascii="Avenir Next LT Pro" w:hAnsi="Avenir Next LT Pro" w:cs="Arial"/>
        </w:rPr>
        <w:t xml:space="preserve"> </w:t>
      </w:r>
      <w:proofErr w:type="spellStart"/>
      <w:r w:rsidRPr="00A77636">
        <w:rPr>
          <w:rFonts w:ascii="Avenir Next LT Pro" w:hAnsi="Avenir Next LT Pro" w:cs="Arial"/>
        </w:rPr>
        <w:t>besluiten</w:t>
      </w:r>
      <w:proofErr w:type="spellEnd"/>
      <w:r w:rsidRPr="00A77636">
        <w:rPr>
          <w:rFonts w:ascii="Avenir Next LT Pro" w:hAnsi="Avenir Next LT Pro" w:cs="Arial"/>
        </w:rPr>
        <w:t xml:space="preserve"> </w:t>
      </w:r>
      <w:proofErr w:type="spellStart"/>
      <w:r w:rsidRPr="00A77636">
        <w:rPr>
          <w:rFonts w:ascii="Avenir Next LT Pro" w:hAnsi="Avenir Next LT Pro" w:cs="Arial"/>
        </w:rPr>
        <w:t>eveneens</w:t>
      </w:r>
      <w:proofErr w:type="spellEnd"/>
      <w:r w:rsidRPr="00A77636">
        <w:rPr>
          <w:rFonts w:ascii="Avenir Next LT Pro" w:hAnsi="Avenir Next LT Pro" w:cs="Arial"/>
        </w:rPr>
        <w:t xml:space="preserve"> </w:t>
      </w:r>
      <w:proofErr w:type="spellStart"/>
      <w:r w:rsidRPr="00A77636">
        <w:rPr>
          <w:rFonts w:ascii="Avenir Next LT Pro" w:hAnsi="Avenir Next LT Pro" w:cs="Arial"/>
        </w:rPr>
        <w:t>openbaar</w:t>
      </w:r>
      <w:proofErr w:type="spellEnd"/>
      <w:r w:rsidRPr="00A77636">
        <w:rPr>
          <w:rFonts w:ascii="Avenir Next LT Pro" w:hAnsi="Avenir Next LT Pro" w:cs="Arial"/>
        </w:rPr>
        <w:t xml:space="preserve"> </w:t>
      </w:r>
      <w:proofErr w:type="spellStart"/>
      <w:r w:rsidRPr="00A77636">
        <w:rPr>
          <w:rFonts w:ascii="Avenir Next LT Pro" w:hAnsi="Avenir Next LT Pro" w:cs="Arial"/>
        </w:rPr>
        <w:t>maken</w:t>
      </w:r>
      <w:proofErr w:type="spellEnd"/>
      <w:r w:rsidRPr="00A77636">
        <w:rPr>
          <w:rFonts w:ascii="Avenir Next LT Pro" w:hAnsi="Avenir Next LT Pro" w:cs="Arial"/>
        </w:rPr>
        <w:t xml:space="preserve">. </w:t>
      </w:r>
    </w:p>
    <w:p w14:paraId="59BCF2F4" w14:textId="77777777" w:rsidR="00FA07CC" w:rsidRPr="00A77636" w:rsidRDefault="00FA07CC" w:rsidP="00FA07CC">
      <w:pPr>
        <w:pStyle w:val="ListParagraph"/>
        <w:numPr>
          <w:ilvl w:val="0"/>
          <w:numId w:val="22"/>
        </w:numPr>
        <w:autoSpaceDN/>
        <w:spacing w:line="276" w:lineRule="auto"/>
        <w:jc w:val="both"/>
        <w:rPr>
          <w:rFonts w:ascii="Avenir Next LT Pro" w:hAnsi="Avenir Next LT Pro" w:cs="Arial"/>
          <w:lang w:val="nl-NL"/>
        </w:rPr>
      </w:pPr>
      <w:r w:rsidRPr="00A77636">
        <w:rPr>
          <w:rFonts w:ascii="Avenir Next LT Pro" w:hAnsi="Avenir Next LT Pro" w:cs="Arial"/>
          <w:lang w:val="nl-NL"/>
        </w:rPr>
        <w:t>In afwijking van artikel 1, kan de AFTA beslissen om een beschikking niet openbaar te maken rekening houden met artikel 8</w:t>
      </w:r>
      <w:r>
        <w:rPr>
          <w:rFonts w:ascii="Avenir Next LT Pro" w:hAnsi="Avenir Next LT Pro" w:cs="Arial"/>
          <w:lang w:val="nl-NL"/>
        </w:rPr>
        <w:t>.</w:t>
      </w:r>
      <w:r w:rsidRPr="00A77636">
        <w:rPr>
          <w:rFonts w:ascii="Avenir Next LT Pro" w:hAnsi="Avenir Next LT Pro" w:cs="Arial"/>
          <w:lang w:val="nl-NL"/>
        </w:rPr>
        <w:t>2 van de Landsverordening houdende regels inzake de openbaarheid van bestuur.</w:t>
      </w:r>
    </w:p>
    <w:p w14:paraId="40C1548E" w14:textId="77777777" w:rsidR="00FA07CC" w:rsidRPr="00A77636" w:rsidRDefault="00FA07CC" w:rsidP="00FA07CC">
      <w:pPr>
        <w:pStyle w:val="ListParagraph"/>
        <w:numPr>
          <w:ilvl w:val="0"/>
          <w:numId w:val="22"/>
        </w:numPr>
        <w:autoSpaceDN/>
        <w:spacing w:line="276" w:lineRule="auto"/>
        <w:jc w:val="both"/>
        <w:rPr>
          <w:rFonts w:ascii="Avenir Next LT Pro" w:hAnsi="Avenir Next LT Pro" w:cs="Arial"/>
          <w:lang w:val="nl-NL"/>
        </w:rPr>
      </w:pPr>
      <w:r w:rsidRPr="00A77636">
        <w:rPr>
          <w:rFonts w:ascii="Avenir Next LT Pro" w:hAnsi="Avenir Next LT Pro" w:cs="Arial"/>
          <w:lang w:val="nl-NL"/>
        </w:rPr>
        <w:t>Voorafgaand aan het publiceren van een beschikking omtrent het opleggen van een bestuurlijke sanctie, een last onder dwangsom of een bindende aanwijzing wordt de beschi</w:t>
      </w:r>
      <w:r>
        <w:rPr>
          <w:rFonts w:ascii="Avenir Next LT Pro" w:hAnsi="Avenir Next LT Pro" w:cs="Arial"/>
          <w:lang w:val="nl-NL"/>
        </w:rPr>
        <w:t>kk</w:t>
      </w:r>
      <w:r w:rsidRPr="00A77636">
        <w:rPr>
          <w:rFonts w:ascii="Avenir Next LT Pro" w:hAnsi="Avenir Next LT Pro" w:cs="Arial"/>
          <w:lang w:val="nl-NL"/>
        </w:rPr>
        <w:t xml:space="preserve">ing </w:t>
      </w:r>
      <w:r>
        <w:rPr>
          <w:rFonts w:ascii="Avenir Next LT Pro" w:hAnsi="Avenir Next LT Pro" w:cs="Arial"/>
          <w:lang w:val="nl-NL"/>
        </w:rPr>
        <w:t>kenbaar gemaakt aan</w:t>
      </w:r>
      <w:r w:rsidRPr="00A77636">
        <w:rPr>
          <w:rFonts w:ascii="Avenir Next LT Pro" w:hAnsi="Avenir Next LT Pro" w:cs="Arial"/>
          <w:lang w:val="nl-NL"/>
        </w:rPr>
        <w:t xml:space="preserve"> </w:t>
      </w:r>
      <w:bookmarkStart w:id="6" w:name="_Hlk184991525"/>
      <w:r w:rsidRPr="00A77636">
        <w:rPr>
          <w:rFonts w:ascii="Avenir Next LT Pro" w:hAnsi="Avenir Next LT Pro" w:cs="Arial"/>
          <w:lang w:val="nl-NL"/>
        </w:rPr>
        <w:t>alle belanghebbenden</w:t>
      </w:r>
      <w:r>
        <w:rPr>
          <w:rFonts w:ascii="Avenir Next LT Pro" w:hAnsi="Avenir Next LT Pro" w:cs="Arial"/>
          <w:lang w:val="nl-NL"/>
        </w:rPr>
        <w:t xml:space="preserve"> die zich hebben gemeld in de administratieve procedure</w:t>
      </w:r>
      <w:bookmarkEnd w:id="6"/>
      <w:r w:rsidRPr="00A77636">
        <w:rPr>
          <w:rFonts w:ascii="Avenir Next LT Pro" w:hAnsi="Avenir Next LT Pro" w:cs="Arial"/>
          <w:lang w:val="nl-NL"/>
        </w:rPr>
        <w:t xml:space="preserve">. </w:t>
      </w:r>
    </w:p>
    <w:p w14:paraId="53D5A43A" w14:textId="77777777" w:rsidR="00FA07CC" w:rsidRDefault="00FA07CC" w:rsidP="00FA07CC">
      <w:pPr>
        <w:pStyle w:val="ListParagraph"/>
        <w:numPr>
          <w:ilvl w:val="0"/>
          <w:numId w:val="22"/>
        </w:numPr>
        <w:autoSpaceDN/>
        <w:spacing w:line="276" w:lineRule="auto"/>
        <w:jc w:val="both"/>
        <w:rPr>
          <w:rFonts w:ascii="Avenir Next LT Pro" w:hAnsi="Avenir Next LT Pro" w:cs="Arial"/>
          <w:lang w:val="nl-NL"/>
        </w:rPr>
      </w:pPr>
      <w:r w:rsidRPr="00A77636">
        <w:rPr>
          <w:rFonts w:ascii="Avenir Next LT Pro" w:hAnsi="Avenir Next LT Pro" w:cs="Arial"/>
          <w:lang w:val="nl-NL"/>
        </w:rPr>
        <w:t>De openbaarmaking van een beschikking geschiedt niet eerder dan nadat 10 dagen zijn verstreken na de dag waarop de beschikking en het voornemen tot openbaarmaking kenbaar is gemaakt aan</w:t>
      </w:r>
      <w:r w:rsidRPr="00EA6E14">
        <w:rPr>
          <w:rFonts w:ascii="Avenir Next LT Pro" w:hAnsi="Avenir Next LT Pro" w:cs="Arial"/>
          <w:lang w:val="nl-NL"/>
        </w:rPr>
        <w:t xml:space="preserve"> </w:t>
      </w:r>
      <w:r w:rsidRPr="00A77636">
        <w:rPr>
          <w:rFonts w:ascii="Avenir Next LT Pro" w:hAnsi="Avenir Next LT Pro" w:cs="Arial"/>
          <w:lang w:val="nl-NL"/>
        </w:rPr>
        <w:t>alle belanghebbenden</w:t>
      </w:r>
      <w:r>
        <w:rPr>
          <w:rFonts w:ascii="Avenir Next LT Pro" w:hAnsi="Avenir Next LT Pro" w:cs="Arial"/>
          <w:lang w:val="nl-NL"/>
        </w:rPr>
        <w:t xml:space="preserve"> die zich hebben gemeld in de administratieve procedure</w:t>
      </w:r>
      <w:r w:rsidRPr="00A77636">
        <w:rPr>
          <w:rFonts w:ascii="Avenir Next LT Pro" w:hAnsi="Avenir Next LT Pro" w:cs="Arial"/>
          <w:lang w:val="nl-NL"/>
        </w:rPr>
        <w:t xml:space="preserve">. Gedurende deze 10 werkdagen kan de </w:t>
      </w:r>
      <w:r>
        <w:rPr>
          <w:rFonts w:ascii="Avenir Next LT Pro" w:hAnsi="Avenir Next LT Pro" w:cs="Arial"/>
          <w:lang w:val="nl-NL"/>
        </w:rPr>
        <w:t xml:space="preserve">belanghebbende </w:t>
      </w:r>
      <w:r w:rsidRPr="00A77636">
        <w:rPr>
          <w:rFonts w:ascii="Avenir Next LT Pro" w:hAnsi="Avenir Next LT Pro" w:cs="Arial"/>
          <w:lang w:val="nl-NL"/>
        </w:rPr>
        <w:t xml:space="preserve">die bezwaar heeft tegen (gedeeltelijke) openbaarmaking van de beschikking hiertegen in rechte opkomen. De AFTA kan eerder tot openbaarmaking overgaan indien de </w:t>
      </w:r>
      <w:r>
        <w:rPr>
          <w:rFonts w:ascii="Avenir Next LT Pro" w:hAnsi="Avenir Next LT Pro" w:cs="Arial"/>
          <w:lang w:val="nl-NL"/>
        </w:rPr>
        <w:t xml:space="preserve">belanghebbende </w:t>
      </w:r>
      <w:r w:rsidRPr="00A77636">
        <w:rPr>
          <w:rFonts w:ascii="Avenir Next LT Pro" w:hAnsi="Avenir Next LT Pro" w:cs="Arial"/>
          <w:lang w:val="nl-NL"/>
        </w:rPr>
        <w:t>de beschikking (deels) zelf openbaar heeft gemaakt, heeft doen openbaar maken of heeft aangegeven geen bedenkingen te hebben tegen eerdere openbaarmaking.</w:t>
      </w:r>
    </w:p>
    <w:p w14:paraId="460A1A57" w14:textId="77777777" w:rsidR="00FA07CC" w:rsidRPr="00BB04C3" w:rsidRDefault="00FA07CC" w:rsidP="00FA07CC">
      <w:pPr>
        <w:pStyle w:val="ListParagraph"/>
        <w:numPr>
          <w:ilvl w:val="0"/>
          <w:numId w:val="22"/>
        </w:numPr>
        <w:autoSpaceDN/>
        <w:spacing w:line="276" w:lineRule="auto"/>
        <w:jc w:val="both"/>
        <w:rPr>
          <w:rFonts w:ascii="Avenir Next LT Pro" w:hAnsi="Avenir Next LT Pro" w:cs="Arial"/>
          <w:lang w:val="nl-NL"/>
        </w:rPr>
      </w:pPr>
      <w:r w:rsidRPr="00BB04C3">
        <w:rPr>
          <w:rFonts w:ascii="Avenir Next LT Pro" w:hAnsi="Avenir Next LT Pro" w:cs="Arial"/>
          <w:lang w:val="nl-NL"/>
        </w:rPr>
        <w:t xml:space="preserve">Bij het indienen van een verzoek om een voorlopige voorziening om de openbaarmaking van een beschikking te voorkomen wordt de openbaarmaking van de beschikking geschorst, totdat de voorzieningenrechter uitspraak heeft gedaan over de openbaarmaking of het verzoek is ingetrokken. </w:t>
      </w:r>
    </w:p>
    <w:p w14:paraId="0CA14A35" w14:textId="77777777" w:rsidR="00FA07CC" w:rsidRPr="00BB04C3" w:rsidRDefault="00FA07CC" w:rsidP="00FA07CC">
      <w:pPr>
        <w:pStyle w:val="ListParagraph"/>
        <w:numPr>
          <w:ilvl w:val="0"/>
          <w:numId w:val="22"/>
        </w:numPr>
        <w:autoSpaceDN/>
        <w:spacing w:line="276" w:lineRule="auto"/>
        <w:jc w:val="both"/>
        <w:rPr>
          <w:rFonts w:ascii="Avenir Next LT Pro" w:hAnsi="Avenir Next LT Pro" w:cs="Arial"/>
          <w:lang w:val="nl-NL"/>
        </w:rPr>
      </w:pPr>
      <w:r w:rsidRPr="00BB04C3">
        <w:rPr>
          <w:rFonts w:ascii="Avenir Next LT Pro" w:hAnsi="Avenir Next LT Pro" w:cs="Arial"/>
          <w:lang w:val="nl-NL"/>
        </w:rPr>
        <w:t>Van de melding van een concentratie wordt mededeling gedaan in de Landscourant van Aruba (Artikel 3.2., tweede Alinea, Mededingingsverordening) alsmede op de website en in het jaarverslag van de AFTA.</w:t>
      </w:r>
    </w:p>
    <w:p w14:paraId="1EF47550" w14:textId="2F5D4D77" w:rsidR="00B24611" w:rsidRPr="00393AD9" w:rsidRDefault="00FA07CC" w:rsidP="00B24611">
      <w:pPr>
        <w:pStyle w:val="Heading1"/>
        <w:rPr>
          <w:rFonts w:ascii="Avenir Next LT Pro" w:hAnsi="Avenir Next LT Pro"/>
          <w:color w:val="96262C"/>
          <w:lang w:val="nl-NL"/>
        </w:rPr>
      </w:pPr>
      <w:bookmarkStart w:id="7" w:name="_Toc188623600"/>
      <w:r>
        <w:rPr>
          <w:rFonts w:ascii="Avenir Next LT Pro" w:hAnsi="Avenir Next LT Pro"/>
          <w:color w:val="96262C"/>
          <w:lang w:val="nl-NL"/>
        </w:rPr>
        <w:lastRenderedPageBreak/>
        <w:t>Persberichten</w:t>
      </w:r>
      <w:bookmarkEnd w:id="7"/>
    </w:p>
    <w:p w14:paraId="1A63A6FB" w14:textId="77777777" w:rsidR="00FA07CC" w:rsidRPr="00A77636" w:rsidRDefault="00FA07CC" w:rsidP="00FA07CC">
      <w:pPr>
        <w:pStyle w:val="ListParagraph"/>
        <w:numPr>
          <w:ilvl w:val="0"/>
          <w:numId w:val="20"/>
        </w:numPr>
        <w:autoSpaceDN/>
        <w:spacing w:line="276" w:lineRule="auto"/>
        <w:jc w:val="both"/>
        <w:rPr>
          <w:rFonts w:ascii="Avenir Next LT Pro" w:hAnsi="Avenir Next LT Pro" w:cs="Arial"/>
          <w:lang w:val="nl-NL"/>
        </w:rPr>
      </w:pPr>
      <w:r w:rsidRPr="00A77636">
        <w:rPr>
          <w:rFonts w:ascii="Avenir Next LT Pro" w:hAnsi="Avenir Next LT Pro" w:cs="Arial"/>
          <w:lang w:val="nl-NL"/>
        </w:rPr>
        <w:t xml:space="preserve">De AFTA kan een persbericht uitbrengen </w:t>
      </w:r>
      <w:r>
        <w:rPr>
          <w:rFonts w:ascii="Avenir Next LT Pro" w:hAnsi="Avenir Next LT Pro" w:cs="Arial"/>
          <w:lang w:val="nl-NL"/>
        </w:rPr>
        <w:t xml:space="preserve">en/of een persconferentie houden </w:t>
      </w:r>
      <w:r w:rsidRPr="00A77636">
        <w:rPr>
          <w:rFonts w:ascii="Avenir Next LT Pro" w:hAnsi="Avenir Next LT Pro" w:cs="Arial"/>
          <w:lang w:val="nl-NL"/>
        </w:rPr>
        <w:t xml:space="preserve">over in haar ogen belangrijke besluiten, onderzoeksresultaten, gemelde concentraties, adviezen of andere werkzaamheden die zij in het geheel en/of in de vorm van een samenvatting kan publiceren. </w:t>
      </w:r>
    </w:p>
    <w:p w14:paraId="7C099A03" w14:textId="77777777" w:rsidR="00FA07CC" w:rsidRPr="00A77636" w:rsidRDefault="00FA07CC" w:rsidP="00FA07CC">
      <w:pPr>
        <w:pStyle w:val="ListParagraph"/>
        <w:numPr>
          <w:ilvl w:val="0"/>
          <w:numId w:val="20"/>
        </w:numPr>
        <w:autoSpaceDN/>
        <w:spacing w:line="276" w:lineRule="auto"/>
        <w:jc w:val="both"/>
        <w:rPr>
          <w:rFonts w:ascii="Avenir Next LT Pro" w:hAnsi="Avenir Next LT Pro" w:cs="Arial"/>
          <w:lang w:val="nl-NL"/>
        </w:rPr>
      </w:pPr>
      <w:r w:rsidRPr="00A77636">
        <w:rPr>
          <w:rFonts w:ascii="Avenir Next LT Pro" w:hAnsi="Avenir Next LT Pro" w:cs="Arial"/>
          <w:lang w:val="nl-NL"/>
        </w:rPr>
        <w:t xml:space="preserve">De AFTA kan een vertaling van het persbericht ook op haar website plaatsen. </w:t>
      </w:r>
    </w:p>
    <w:p w14:paraId="17665316" w14:textId="77777777" w:rsidR="00FA07CC" w:rsidRPr="00A77636" w:rsidRDefault="00FA07CC" w:rsidP="00FA07CC">
      <w:pPr>
        <w:pStyle w:val="ListParagraph"/>
        <w:numPr>
          <w:ilvl w:val="0"/>
          <w:numId w:val="20"/>
        </w:numPr>
        <w:autoSpaceDN/>
        <w:spacing w:line="276" w:lineRule="auto"/>
        <w:jc w:val="both"/>
        <w:rPr>
          <w:rFonts w:ascii="Avenir Next LT Pro" w:hAnsi="Avenir Next LT Pro" w:cs="Arial"/>
          <w:lang w:val="nl-NL"/>
        </w:rPr>
      </w:pPr>
      <w:r w:rsidRPr="00A77636">
        <w:rPr>
          <w:rFonts w:ascii="Avenir Next LT Pro" w:hAnsi="Avenir Next LT Pro" w:cs="Arial"/>
          <w:lang w:val="nl-NL"/>
        </w:rPr>
        <w:t xml:space="preserve">Indien de AFTA bij de publicatie van een persbericht de naam van een </w:t>
      </w:r>
      <w:r>
        <w:rPr>
          <w:rFonts w:ascii="Avenir Next LT Pro" w:hAnsi="Avenir Next LT Pro" w:cs="Arial"/>
          <w:lang w:val="nl-NL"/>
        </w:rPr>
        <w:t xml:space="preserve">onderneming of natuurlijk </w:t>
      </w:r>
      <w:proofErr w:type="spellStart"/>
      <w:r>
        <w:rPr>
          <w:rFonts w:ascii="Avenir Next LT Pro" w:hAnsi="Avenir Next LT Pro" w:cs="Arial"/>
          <w:lang w:val="nl-NL"/>
        </w:rPr>
        <w:t>persoon</w:t>
      </w:r>
      <w:r w:rsidRPr="00A77636">
        <w:rPr>
          <w:rFonts w:ascii="Avenir Next LT Pro" w:hAnsi="Avenir Next LT Pro" w:cs="Arial"/>
          <w:lang w:val="nl-NL"/>
        </w:rPr>
        <w:t>j</w:t>
      </w:r>
      <w:proofErr w:type="spellEnd"/>
      <w:r w:rsidRPr="00A77636">
        <w:rPr>
          <w:rFonts w:ascii="Avenir Next LT Pro" w:hAnsi="Avenir Next LT Pro" w:cs="Arial"/>
          <w:lang w:val="nl-NL"/>
        </w:rPr>
        <w:t xml:space="preserve"> noemt</w:t>
      </w:r>
      <w:r>
        <w:rPr>
          <w:rFonts w:ascii="Avenir Next LT Pro" w:hAnsi="Avenir Next LT Pro" w:cs="Arial"/>
          <w:lang w:val="nl-NL"/>
        </w:rPr>
        <w:t>,</w:t>
      </w:r>
      <w:r w:rsidRPr="00A77636">
        <w:rPr>
          <w:rFonts w:ascii="Avenir Next LT Pro" w:hAnsi="Avenir Next LT Pro" w:cs="Arial"/>
          <w:lang w:val="nl-NL"/>
        </w:rPr>
        <w:t xml:space="preserve"> wordt die partij voorafgaand aan het uitbrengen van het persbericht op de hoogte gebracht van de inhoud daarvan en het tijdstip waarop dat persbericht op de website van de AFTA wordt geplaatst. </w:t>
      </w:r>
    </w:p>
    <w:p w14:paraId="4B8E3F58" w14:textId="77777777" w:rsidR="00FA07CC" w:rsidRDefault="00FA07CC" w:rsidP="00FA07CC">
      <w:pPr>
        <w:pStyle w:val="ListParagraph"/>
        <w:numPr>
          <w:ilvl w:val="0"/>
          <w:numId w:val="20"/>
        </w:numPr>
        <w:autoSpaceDN/>
        <w:spacing w:after="0" w:line="276" w:lineRule="auto"/>
        <w:jc w:val="both"/>
        <w:rPr>
          <w:rFonts w:ascii="Avenir Next LT Pro" w:hAnsi="Avenir Next LT Pro" w:cs="Arial"/>
          <w:lang w:val="nl-NL"/>
        </w:rPr>
      </w:pPr>
      <w:r w:rsidRPr="00A77636">
        <w:rPr>
          <w:rFonts w:ascii="Avenir Next LT Pro" w:hAnsi="Avenir Next LT Pro" w:cs="Arial"/>
          <w:lang w:val="nl-NL"/>
        </w:rPr>
        <w:t xml:space="preserve"> De AFTA beantwoordt vragen van de media in beginsel via haar voorzitter of de directeur van het bureau van de AFTA. </w:t>
      </w:r>
    </w:p>
    <w:p w14:paraId="31EB1D82" w14:textId="77777777" w:rsidR="00FA07CC" w:rsidRPr="00FA07CC" w:rsidRDefault="00FA07CC" w:rsidP="00FA07CC">
      <w:pPr>
        <w:autoSpaceDN/>
        <w:spacing w:after="0" w:line="276" w:lineRule="auto"/>
        <w:jc w:val="both"/>
        <w:rPr>
          <w:rFonts w:ascii="Avenir Next LT Pro" w:hAnsi="Avenir Next LT Pro" w:cs="Arial"/>
          <w:lang w:val="nl-NL"/>
        </w:rPr>
      </w:pPr>
    </w:p>
    <w:p w14:paraId="67416366" w14:textId="005861CC" w:rsidR="00632A6A" w:rsidRPr="00393AD9" w:rsidRDefault="00FA07CC" w:rsidP="00FA07CC">
      <w:pPr>
        <w:pStyle w:val="Heading1"/>
        <w:spacing w:before="0"/>
        <w:rPr>
          <w:rFonts w:ascii="Avenir Next LT Pro" w:hAnsi="Avenir Next LT Pro"/>
          <w:color w:val="96262C"/>
          <w:lang w:val="nl-NL"/>
        </w:rPr>
      </w:pPr>
      <w:bookmarkStart w:id="8" w:name="_Toc188623601"/>
      <w:r>
        <w:rPr>
          <w:rFonts w:ascii="Avenir Next LT Pro" w:hAnsi="Avenir Next LT Pro"/>
          <w:color w:val="96262C"/>
          <w:lang w:val="nl-NL"/>
        </w:rPr>
        <w:t>Slotbepalingen</w:t>
      </w:r>
      <w:bookmarkEnd w:id="8"/>
    </w:p>
    <w:p w14:paraId="7AAE1122" w14:textId="77777777" w:rsidR="00FA07CC" w:rsidRPr="00A77636" w:rsidRDefault="00FA07CC" w:rsidP="00FA07CC">
      <w:pPr>
        <w:pStyle w:val="ListParagraph"/>
        <w:numPr>
          <w:ilvl w:val="0"/>
          <w:numId w:val="23"/>
        </w:numPr>
        <w:autoSpaceDN/>
        <w:spacing w:line="276" w:lineRule="auto"/>
        <w:jc w:val="both"/>
        <w:rPr>
          <w:rFonts w:ascii="Avenir Next LT Pro" w:hAnsi="Avenir Next LT Pro" w:cs="Arial"/>
          <w:lang w:val="nl-NL"/>
        </w:rPr>
      </w:pPr>
      <w:r w:rsidRPr="00A77636">
        <w:rPr>
          <w:rFonts w:ascii="Avenir Next LT Pro" w:hAnsi="Avenir Next LT Pro" w:cs="Arial"/>
          <w:lang w:val="nl-NL"/>
        </w:rPr>
        <w:t xml:space="preserve">De AFTA kan in uitzonderingsgevallen afwijken van deze werkwijze indien de omstandigheden daar </w:t>
      </w:r>
      <w:r w:rsidRPr="005105F9">
        <w:rPr>
          <w:rFonts w:ascii="Avenir Next LT Pro" w:hAnsi="Avenir Next LT Pro" w:cs="Arial"/>
          <w:lang w:val="nl-NL"/>
        </w:rPr>
        <w:t>aanleiding</w:t>
      </w:r>
      <w:r w:rsidRPr="00A77636">
        <w:rPr>
          <w:rFonts w:ascii="Avenir Next LT Pro" w:hAnsi="Avenir Next LT Pro" w:cs="Arial"/>
          <w:lang w:val="nl-NL"/>
        </w:rPr>
        <w:t xml:space="preserve"> toe geven. </w:t>
      </w:r>
    </w:p>
    <w:p w14:paraId="02D44F00" w14:textId="77777777" w:rsidR="00FA07CC" w:rsidRPr="00EA6E14" w:rsidRDefault="00FA07CC" w:rsidP="00FA07CC">
      <w:pPr>
        <w:pStyle w:val="ListParagraph"/>
        <w:numPr>
          <w:ilvl w:val="0"/>
          <w:numId w:val="23"/>
        </w:numPr>
        <w:autoSpaceDN/>
        <w:spacing w:line="276" w:lineRule="auto"/>
        <w:jc w:val="both"/>
        <w:rPr>
          <w:rFonts w:ascii="Avenir Next LT Pro" w:hAnsi="Avenir Next LT Pro"/>
          <w:lang w:val="nl-NL"/>
        </w:rPr>
      </w:pPr>
      <w:r w:rsidRPr="00EA6E14">
        <w:rPr>
          <w:rFonts w:ascii="Avenir Next LT Pro" w:hAnsi="Avenir Next LT Pro" w:cs="Arial"/>
          <w:lang w:val="nl-NL"/>
        </w:rPr>
        <w:t>Deze werkwijze wordt aangehaald als: “ Werkwijze externe communicatie AFTA”.</w:t>
      </w:r>
    </w:p>
    <w:sectPr w:rsidR="00FA07CC" w:rsidRPr="00EA6E14" w:rsidSect="00882DD9">
      <w:headerReference w:type="default" r:id="rId10"/>
      <w:footerReference w:type="default" r:id="rId11"/>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21A5" w14:textId="77777777" w:rsidR="00776E4A" w:rsidRDefault="00776E4A">
      <w:pPr>
        <w:spacing w:after="0" w:line="240" w:lineRule="auto"/>
      </w:pPr>
      <w:r>
        <w:separator/>
      </w:r>
    </w:p>
  </w:endnote>
  <w:endnote w:type="continuationSeparator" w:id="0">
    <w:p w14:paraId="60D3144F" w14:textId="77777777" w:rsidR="00776E4A" w:rsidRDefault="0077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8F82" w14:textId="77777777" w:rsidR="00882DD9" w:rsidRDefault="00882DD9">
    <w:pPr>
      <w:pStyle w:val="Footer"/>
    </w:pPr>
    <w:r>
      <w:rPr>
        <w:noProof/>
      </w:rPr>
      <w:drawing>
        <wp:inline distT="0" distB="0" distL="0" distR="0" wp14:anchorId="52448F7A" wp14:editId="52448F7B">
          <wp:extent cx="4090412" cy="134115"/>
          <wp:effectExtent l="0" t="0" r="5338" b="0"/>
          <wp:docPr id="18419165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090412" cy="134115"/>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5A9B5" w14:textId="77777777" w:rsidR="00776E4A" w:rsidRDefault="00776E4A">
      <w:pPr>
        <w:spacing w:after="0" w:line="240" w:lineRule="auto"/>
      </w:pPr>
      <w:r>
        <w:rPr>
          <w:color w:val="000000"/>
        </w:rPr>
        <w:separator/>
      </w:r>
    </w:p>
  </w:footnote>
  <w:footnote w:type="continuationSeparator" w:id="0">
    <w:p w14:paraId="5B001407" w14:textId="77777777" w:rsidR="00776E4A" w:rsidRDefault="00776E4A">
      <w:pPr>
        <w:spacing w:after="0" w:line="240" w:lineRule="auto"/>
      </w:pPr>
      <w:r>
        <w:continuationSeparator/>
      </w:r>
    </w:p>
  </w:footnote>
  <w:footnote w:id="1">
    <w:p w14:paraId="157F163B" w14:textId="740C559A" w:rsidR="00FA07CC" w:rsidRPr="00A77636" w:rsidRDefault="00FA07CC" w:rsidP="00FA07CC">
      <w:pPr>
        <w:jc w:val="both"/>
        <w:rPr>
          <w:rFonts w:ascii="Avenir Next LT Pro" w:hAnsi="Avenir Next LT Pro"/>
          <w:sz w:val="20"/>
          <w:szCs w:val="20"/>
          <w:lang w:val="nl-NL"/>
        </w:rPr>
      </w:pPr>
      <w:r w:rsidRPr="00A77636">
        <w:rPr>
          <w:rStyle w:val="FootnoteCharacters"/>
          <w:sz w:val="20"/>
          <w:szCs w:val="20"/>
        </w:rPr>
        <w:footnoteRef/>
      </w:r>
      <w:r w:rsidRPr="00A77636">
        <w:rPr>
          <w:sz w:val="20"/>
          <w:szCs w:val="20"/>
          <w:lang w:val="nl-NL"/>
        </w:rPr>
        <w:t xml:space="preserve"> </w:t>
      </w:r>
      <w:r w:rsidRPr="00A77636">
        <w:rPr>
          <w:rFonts w:ascii="Avenir Next LT Pro" w:hAnsi="Avenir Next LT Pro"/>
          <w:sz w:val="20"/>
          <w:szCs w:val="20"/>
          <w:lang w:val="nl-NL"/>
        </w:rPr>
        <w:t xml:space="preserve">Artikel 4.18 van de Mededingingsverordening stelt dat de Raad uitvoeringsregels kan vaststellen ter uitvoering van de aan hem opgedragen taken. De uitvoeringsregels behoeven de voorafgaande goedkeuring van de Minister en worden in de Landscourant van Aruba gepubliceerd. Vooruitlopend op de vaststelling van deze uitvoeringsregels en met inachtneming van de algemene beginselen van behoorlijk bestuur, werkt de AFTA in de tussentijd conform deze </w:t>
      </w:r>
      <w:r>
        <w:rPr>
          <w:rFonts w:ascii="Avenir Next LT Pro" w:hAnsi="Avenir Next LT Pro"/>
          <w:sz w:val="20"/>
          <w:szCs w:val="20"/>
          <w:lang w:val="nl-NL"/>
        </w:rPr>
        <w:t xml:space="preserve">voorlopige </w:t>
      </w:r>
      <w:r w:rsidRPr="00A77636">
        <w:rPr>
          <w:rFonts w:ascii="Avenir Next LT Pro" w:hAnsi="Avenir Next LT Pro"/>
          <w:sz w:val="20"/>
          <w:szCs w:val="20"/>
          <w:lang w:val="nl-NL"/>
        </w:rPr>
        <w:t>werkwijze.</w:t>
      </w:r>
    </w:p>
    <w:p w14:paraId="47848AB5" w14:textId="77777777" w:rsidR="00FA07CC" w:rsidRPr="008B060C" w:rsidRDefault="00FA07CC" w:rsidP="00FA07CC">
      <w:pPr>
        <w:pStyle w:val="FootnoteTex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8F80" w14:textId="469B11B0" w:rsidR="00882DD9" w:rsidRDefault="00DE4B32">
    <w:pPr>
      <w:pStyle w:val="Header"/>
    </w:pPr>
    <w:r w:rsidRPr="006229DA">
      <w:rPr>
        <w:noProof/>
      </w:rPr>
      <w:drawing>
        <wp:inline distT="0" distB="0" distL="0" distR="0" wp14:anchorId="32FA5DE8" wp14:editId="0D032F13">
          <wp:extent cx="6635750" cy="1574800"/>
          <wp:effectExtent l="0" t="0" r="0" b="6350"/>
          <wp:docPr id="141536278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62783" name="Picture 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79F"/>
    <w:multiLevelType w:val="multilevel"/>
    <w:tmpl w:val="3C54D3DE"/>
    <w:lvl w:ilvl="0">
      <w:start w:val="1"/>
      <w:numFmt w:val="decimal"/>
      <w:lvlText w:val="%1."/>
      <w:lvlJc w:val="left"/>
      <w:pPr>
        <w:ind w:left="510" w:hanging="450"/>
      </w:pPr>
    </w:lvl>
    <w:lvl w:ilvl="1">
      <w:start w:val="1"/>
      <w:numFmt w:val="lowerLetter"/>
      <w:lvlText w:val="."/>
      <w:lvlJc w:val="left"/>
      <w:pPr>
        <w:ind w:left="1140" w:hanging="360"/>
      </w:pPr>
    </w:lvl>
    <w:lvl w:ilvl="2">
      <w:start w:val="1"/>
      <w:numFmt w:val="lowerRoman"/>
      <w:lvlText w:val="."/>
      <w:lvlJc w:val="right"/>
      <w:pPr>
        <w:ind w:left="1860" w:hanging="180"/>
      </w:pPr>
    </w:lvl>
    <w:lvl w:ilvl="3">
      <w:start w:val="1"/>
      <w:numFmt w:val="decimal"/>
      <w:lvlText w:val="."/>
      <w:lvlJc w:val="left"/>
      <w:pPr>
        <w:ind w:left="2580" w:hanging="360"/>
      </w:pPr>
    </w:lvl>
    <w:lvl w:ilvl="4">
      <w:start w:val="1"/>
      <w:numFmt w:val="lowerLetter"/>
      <w:lvlText w:val="."/>
      <w:lvlJc w:val="left"/>
      <w:pPr>
        <w:ind w:left="3300" w:hanging="360"/>
      </w:pPr>
    </w:lvl>
    <w:lvl w:ilvl="5">
      <w:start w:val="1"/>
      <w:numFmt w:val="lowerRoman"/>
      <w:lvlText w:val="."/>
      <w:lvlJc w:val="right"/>
      <w:pPr>
        <w:ind w:left="4020" w:hanging="180"/>
      </w:pPr>
    </w:lvl>
    <w:lvl w:ilvl="6">
      <w:start w:val="1"/>
      <w:numFmt w:val="decimal"/>
      <w:lvlText w:val="."/>
      <w:lvlJc w:val="left"/>
      <w:pPr>
        <w:ind w:left="4740" w:hanging="360"/>
      </w:pPr>
    </w:lvl>
    <w:lvl w:ilvl="7">
      <w:start w:val="1"/>
      <w:numFmt w:val="lowerLetter"/>
      <w:lvlText w:val="."/>
      <w:lvlJc w:val="left"/>
      <w:pPr>
        <w:ind w:left="5460" w:hanging="360"/>
      </w:pPr>
    </w:lvl>
    <w:lvl w:ilvl="8">
      <w:start w:val="1"/>
      <w:numFmt w:val="lowerRoman"/>
      <w:lvlText w:val="."/>
      <w:lvlJc w:val="right"/>
      <w:pPr>
        <w:ind w:left="6180" w:hanging="180"/>
      </w:pPr>
    </w:lvl>
  </w:abstractNum>
  <w:abstractNum w:abstractNumId="1" w15:restartNumberingAfterBreak="0">
    <w:nsid w:val="0939079E"/>
    <w:multiLevelType w:val="multilevel"/>
    <w:tmpl w:val="B5062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656530"/>
    <w:multiLevelType w:val="multilevel"/>
    <w:tmpl w:val="4DF66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F0009C"/>
    <w:multiLevelType w:val="multilevel"/>
    <w:tmpl w:val="1A9C5C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E4F3F"/>
    <w:multiLevelType w:val="hybridMultilevel"/>
    <w:tmpl w:val="E1CAA0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91F3E36"/>
    <w:multiLevelType w:val="multilevel"/>
    <w:tmpl w:val="AD7E352E"/>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B4065E9"/>
    <w:multiLevelType w:val="multilevel"/>
    <w:tmpl w:val="DD942898"/>
    <w:styleLink w:val="WWOutlineListStyl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E9849EE"/>
    <w:multiLevelType w:val="multilevel"/>
    <w:tmpl w:val="073A7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DD3E4B"/>
    <w:multiLevelType w:val="multilevel"/>
    <w:tmpl w:val="E4D0A1B8"/>
    <w:styleLink w:val="LFO20"/>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8896F12"/>
    <w:multiLevelType w:val="multilevel"/>
    <w:tmpl w:val="B8843B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B6411CA"/>
    <w:multiLevelType w:val="multilevel"/>
    <w:tmpl w:val="4F248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FF2D4D"/>
    <w:multiLevelType w:val="multilevel"/>
    <w:tmpl w:val="1C787768"/>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2C38D7"/>
    <w:multiLevelType w:val="hybridMultilevel"/>
    <w:tmpl w:val="B0E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3038D"/>
    <w:multiLevelType w:val="hybridMultilevel"/>
    <w:tmpl w:val="9C68D2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654D7B8B"/>
    <w:multiLevelType w:val="multilevel"/>
    <w:tmpl w:val="A454AB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3E081C"/>
    <w:multiLevelType w:val="multilevel"/>
    <w:tmpl w:val="7AB02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673500"/>
    <w:multiLevelType w:val="multilevel"/>
    <w:tmpl w:val="112AB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A7444B9"/>
    <w:multiLevelType w:val="multilevel"/>
    <w:tmpl w:val="5954489C"/>
    <w:lvl w:ilvl="0">
      <w:numFmt w:val="bullet"/>
      <w:lvlText w:val=""/>
      <w:lvlJc w:val="left"/>
      <w:pPr>
        <w:ind w:left="720" w:hanging="360"/>
      </w:pPr>
      <w:rPr>
        <w:rFonts w:ascii="Symbol" w:hAnsi="Symbol"/>
      </w:rPr>
    </w:lvl>
    <w:lvl w:ilvl="1">
      <w:numFmt w:val="bullet"/>
      <w:lvlText w:val="-"/>
      <w:lvlJc w:val="left"/>
      <w:pPr>
        <w:ind w:left="1440" w:hanging="360"/>
      </w:pPr>
      <w:rPr>
        <w:rFonts w:ascii="Avenir Next LT Pro" w:eastAsia="Times New Roman" w:hAnsi="Avenir Next LT Pro"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B1C5AD1"/>
    <w:multiLevelType w:val="multilevel"/>
    <w:tmpl w:val="BB3A22B4"/>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CC20FA3"/>
    <w:multiLevelType w:val="multilevel"/>
    <w:tmpl w:val="0CB0FFC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78860005"/>
    <w:multiLevelType w:val="multilevel"/>
    <w:tmpl w:val="FC74A5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9827CB"/>
    <w:multiLevelType w:val="multilevel"/>
    <w:tmpl w:val="828817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63838996">
    <w:abstractNumId w:val="6"/>
  </w:num>
  <w:num w:numId="2" w16cid:durableId="1511336306">
    <w:abstractNumId w:val="18"/>
  </w:num>
  <w:num w:numId="3" w16cid:durableId="1518154456">
    <w:abstractNumId w:val="5"/>
  </w:num>
  <w:num w:numId="4" w16cid:durableId="1396395096">
    <w:abstractNumId w:val="8"/>
  </w:num>
  <w:num w:numId="5" w16cid:durableId="1815414124">
    <w:abstractNumId w:val="17"/>
  </w:num>
  <w:num w:numId="6" w16cid:durableId="529687743">
    <w:abstractNumId w:val="7"/>
  </w:num>
  <w:num w:numId="7" w16cid:durableId="590747311">
    <w:abstractNumId w:val="20"/>
  </w:num>
  <w:num w:numId="8" w16cid:durableId="1048187917">
    <w:abstractNumId w:val="0"/>
  </w:num>
  <w:num w:numId="9" w16cid:durableId="611205872">
    <w:abstractNumId w:val="15"/>
  </w:num>
  <w:num w:numId="10" w16cid:durableId="2026905771">
    <w:abstractNumId w:val="2"/>
  </w:num>
  <w:num w:numId="11" w16cid:durableId="1458332829">
    <w:abstractNumId w:val="1"/>
  </w:num>
  <w:num w:numId="12" w16cid:durableId="973829109">
    <w:abstractNumId w:val="16"/>
  </w:num>
  <w:num w:numId="13" w16cid:durableId="2018539632">
    <w:abstractNumId w:val="10"/>
  </w:num>
  <w:num w:numId="14" w16cid:durableId="639387747">
    <w:abstractNumId w:val="11"/>
  </w:num>
  <w:num w:numId="15" w16cid:durableId="2004700440">
    <w:abstractNumId w:val="19"/>
  </w:num>
  <w:num w:numId="16" w16cid:durableId="1689138239">
    <w:abstractNumId w:val="19"/>
    <w:lvlOverride w:ilvl="0">
      <w:startOverride w:val="1"/>
    </w:lvlOverride>
  </w:num>
  <w:num w:numId="17" w16cid:durableId="2012639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3549981">
    <w:abstractNumId w:val="4"/>
  </w:num>
  <w:num w:numId="19" w16cid:durableId="742684628">
    <w:abstractNumId w:val="12"/>
  </w:num>
  <w:num w:numId="20" w16cid:durableId="1885749763">
    <w:abstractNumId w:val="21"/>
  </w:num>
  <w:num w:numId="21" w16cid:durableId="1564409965">
    <w:abstractNumId w:val="3"/>
  </w:num>
  <w:num w:numId="22" w16cid:durableId="1901405350">
    <w:abstractNumId w:val="14"/>
  </w:num>
  <w:num w:numId="23" w16cid:durableId="1436827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32"/>
    <w:rsid w:val="000F3A3D"/>
    <w:rsid w:val="00114361"/>
    <w:rsid w:val="00183B62"/>
    <w:rsid w:val="00260ED1"/>
    <w:rsid w:val="002B1D90"/>
    <w:rsid w:val="002E4806"/>
    <w:rsid w:val="002F2ABC"/>
    <w:rsid w:val="002F5B43"/>
    <w:rsid w:val="00333074"/>
    <w:rsid w:val="00345193"/>
    <w:rsid w:val="00353375"/>
    <w:rsid w:val="00393AD9"/>
    <w:rsid w:val="003C43D0"/>
    <w:rsid w:val="004219FD"/>
    <w:rsid w:val="0048069A"/>
    <w:rsid w:val="005841F2"/>
    <w:rsid w:val="005966E4"/>
    <w:rsid w:val="00632A6A"/>
    <w:rsid w:val="006A63A9"/>
    <w:rsid w:val="006E4E92"/>
    <w:rsid w:val="00765153"/>
    <w:rsid w:val="007762C3"/>
    <w:rsid w:val="00776E4A"/>
    <w:rsid w:val="00882DD9"/>
    <w:rsid w:val="00931057"/>
    <w:rsid w:val="00956832"/>
    <w:rsid w:val="00A16EB1"/>
    <w:rsid w:val="00B24611"/>
    <w:rsid w:val="00BC74DA"/>
    <w:rsid w:val="00C56088"/>
    <w:rsid w:val="00D24AB4"/>
    <w:rsid w:val="00DA6ED8"/>
    <w:rsid w:val="00DC0C73"/>
    <w:rsid w:val="00DD74B6"/>
    <w:rsid w:val="00DE4B32"/>
    <w:rsid w:val="00F5769E"/>
    <w:rsid w:val="00FA07CC"/>
    <w:rsid w:val="00FD0ED1"/>
    <w:rsid w:val="00FE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8F76"/>
  <w15:docId w15:val="{F0FD4ECD-D917-449B-838E-B8F3CCCD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numPr>
        <w:numId w:val="1"/>
      </w:numPr>
      <w:pBdr>
        <w:bottom w:val="single" w:sz="4" w:space="1" w:color="595959"/>
      </w:pBdr>
      <w:spacing w:before="360"/>
      <w:outlineLvl w:val="0"/>
    </w:pPr>
    <w:rPr>
      <w:rFonts w:ascii="Calibri Light" w:hAnsi="Calibri Light"/>
      <w:b/>
      <w:bCs/>
      <w:smallCaps/>
      <w:color w:val="000000"/>
      <w:sz w:val="36"/>
      <w:szCs w:val="36"/>
    </w:rPr>
  </w:style>
  <w:style w:type="paragraph" w:styleId="Heading2">
    <w:name w:val="heading 2"/>
    <w:basedOn w:val="Normal"/>
    <w:next w:val="Normal"/>
    <w:uiPriority w:val="9"/>
    <w:unhideWhenUsed/>
    <w:qFormat/>
    <w:pPr>
      <w:keepNext/>
      <w:keepLines/>
      <w:numPr>
        <w:ilvl w:val="1"/>
        <w:numId w:val="1"/>
      </w:numPr>
      <w:spacing w:before="360" w:after="0"/>
      <w:outlineLvl w:val="1"/>
    </w:pPr>
    <w:rPr>
      <w:rFonts w:ascii="Calibri Light" w:hAnsi="Calibri Light"/>
      <w:b/>
      <w:bCs/>
      <w:smallCaps/>
      <w:color w:val="000000"/>
      <w:sz w:val="28"/>
      <w:szCs w:val="28"/>
    </w:rPr>
  </w:style>
  <w:style w:type="paragraph" w:styleId="Heading3">
    <w:name w:val="heading 3"/>
    <w:basedOn w:val="Normal"/>
    <w:next w:val="Normal"/>
    <w:uiPriority w:val="9"/>
    <w:unhideWhenUsed/>
    <w:qFormat/>
    <w:pPr>
      <w:keepNext/>
      <w:keepLines/>
      <w:numPr>
        <w:ilvl w:val="2"/>
        <w:numId w:val="1"/>
      </w:numPr>
      <w:spacing w:before="200" w:after="0"/>
      <w:outlineLvl w:val="2"/>
    </w:pPr>
    <w:rPr>
      <w:rFonts w:ascii="Calibri Light" w:hAnsi="Calibri Light"/>
      <w:b/>
      <w:bCs/>
      <w:color w:val="000000"/>
    </w:rPr>
  </w:style>
  <w:style w:type="paragraph" w:styleId="Heading4">
    <w:name w:val="heading 4"/>
    <w:basedOn w:val="Normal"/>
    <w:next w:val="Normal"/>
    <w:uiPriority w:val="9"/>
    <w:semiHidden/>
    <w:unhideWhenUsed/>
    <w:qFormat/>
    <w:pPr>
      <w:keepNext/>
      <w:keepLines/>
      <w:numPr>
        <w:ilvl w:val="3"/>
        <w:numId w:val="1"/>
      </w:numPr>
      <w:spacing w:before="200" w:after="0"/>
      <w:outlineLvl w:val="3"/>
    </w:pPr>
    <w:rPr>
      <w:rFonts w:ascii="Calibri Light" w:hAnsi="Calibri Light"/>
      <w:b/>
      <w:bCs/>
      <w:i/>
      <w:iCs/>
      <w:color w:val="000000"/>
    </w:rPr>
  </w:style>
  <w:style w:type="paragraph" w:styleId="Heading5">
    <w:name w:val="heading 5"/>
    <w:basedOn w:val="Normal"/>
    <w:next w:val="Normal"/>
    <w:uiPriority w:val="9"/>
    <w:semiHidden/>
    <w:unhideWhenUsed/>
    <w:qFormat/>
    <w:pPr>
      <w:keepNext/>
      <w:keepLines/>
      <w:numPr>
        <w:ilvl w:val="4"/>
        <w:numId w:val="1"/>
      </w:numPr>
      <w:spacing w:before="200" w:after="0"/>
      <w:outlineLvl w:val="4"/>
    </w:pPr>
    <w:rPr>
      <w:rFonts w:ascii="Calibri Light" w:hAnsi="Calibri Light"/>
      <w:color w:val="323E4F"/>
    </w:rPr>
  </w:style>
  <w:style w:type="paragraph" w:styleId="Heading6">
    <w:name w:val="heading 6"/>
    <w:basedOn w:val="Normal"/>
    <w:next w:val="Normal"/>
    <w:uiPriority w:val="9"/>
    <w:semiHidden/>
    <w:unhideWhenUsed/>
    <w:qFormat/>
    <w:pPr>
      <w:keepNext/>
      <w:keepLines/>
      <w:numPr>
        <w:ilvl w:val="5"/>
        <w:numId w:val="1"/>
      </w:numPr>
      <w:spacing w:before="200" w:after="0"/>
      <w:outlineLvl w:val="5"/>
    </w:pPr>
    <w:rPr>
      <w:rFonts w:ascii="Calibri Light" w:hAnsi="Calibri Light"/>
      <w:i/>
      <w:iCs/>
      <w:color w:val="323E4F"/>
    </w:rPr>
  </w:style>
  <w:style w:type="paragraph" w:styleId="Heading7">
    <w:name w:val="heading 7"/>
    <w:basedOn w:val="Normal"/>
    <w:next w:val="Normal"/>
    <w:uiPriority w:val="9"/>
    <w:qFormat/>
    <w:pPr>
      <w:keepNext/>
      <w:keepLines/>
      <w:numPr>
        <w:ilvl w:val="6"/>
        <w:numId w:val="1"/>
      </w:numPr>
      <w:spacing w:before="200" w:after="0"/>
      <w:outlineLvl w:val="6"/>
    </w:pPr>
    <w:rPr>
      <w:rFonts w:ascii="Calibri Light" w:hAnsi="Calibri Light"/>
      <w:i/>
      <w:iCs/>
      <w:color w:val="404040"/>
    </w:rPr>
  </w:style>
  <w:style w:type="paragraph" w:styleId="Heading8">
    <w:name w:val="heading 8"/>
    <w:basedOn w:val="Normal"/>
    <w:next w:val="Normal"/>
    <w:uiPriority w:val="9"/>
    <w:qFormat/>
    <w:pPr>
      <w:keepNext/>
      <w:keepLines/>
      <w:numPr>
        <w:ilvl w:val="7"/>
        <w:numId w:val="1"/>
      </w:numPr>
      <w:spacing w:before="200" w:after="0"/>
      <w:outlineLvl w:val="7"/>
    </w:pPr>
    <w:rPr>
      <w:rFonts w:ascii="Calibri Light" w:hAnsi="Calibri Light"/>
      <w:color w:val="404040"/>
      <w:sz w:val="20"/>
      <w:szCs w:val="20"/>
    </w:rPr>
  </w:style>
  <w:style w:type="paragraph" w:styleId="Heading9">
    <w:name w:val="heading 9"/>
    <w:basedOn w:val="Normal"/>
    <w:next w:val="Normal"/>
    <w:uiPriority w:val="9"/>
    <w:qFormat/>
    <w:pPr>
      <w:keepNext/>
      <w:keepLines/>
      <w:numPr>
        <w:ilvl w:val="8"/>
        <w:numId w:val="1"/>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b/>
      <w:bCs/>
      <w:smallCaps/>
      <w:color w:val="000000"/>
      <w:sz w:val="36"/>
      <w:szCs w:val="36"/>
    </w:rPr>
  </w:style>
  <w:style w:type="character" w:customStyle="1" w:styleId="Heading2Char">
    <w:name w:val="Heading 2 Char"/>
    <w:basedOn w:val="DefaultParagraphFont"/>
    <w:rPr>
      <w:rFonts w:ascii="Calibri Light" w:eastAsia="Times New Roman" w:hAnsi="Calibri Light" w:cs="Times New Roman"/>
      <w:b/>
      <w:bCs/>
      <w:smallCaps/>
      <w:color w:val="000000"/>
      <w:sz w:val="28"/>
      <w:szCs w:val="28"/>
    </w:rPr>
  </w:style>
  <w:style w:type="character" w:customStyle="1" w:styleId="Heading3Char">
    <w:name w:val="Heading 3 Char"/>
    <w:basedOn w:val="DefaultParagraphFont"/>
    <w:rPr>
      <w:rFonts w:ascii="Calibri Light" w:eastAsia="Times New Roman" w:hAnsi="Calibri Light" w:cs="Times New Roman"/>
      <w:b/>
      <w:bCs/>
      <w:color w:val="000000"/>
    </w:rPr>
  </w:style>
  <w:style w:type="character" w:customStyle="1" w:styleId="Heading4Char">
    <w:name w:val="Heading 4 Char"/>
    <w:basedOn w:val="DefaultParagraphFont"/>
    <w:rPr>
      <w:rFonts w:ascii="Calibri Light" w:eastAsia="Times New Roman" w:hAnsi="Calibri Light" w:cs="Times New Roman"/>
      <w:b/>
      <w:bCs/>
      <w:i/>
      <w:iCs/>
      <w:color w:val="000000"/>
    </w:rPr>
  </w:style>
  <w:style w:type="character" w:customStyle="1" w:styleId="Heading5Char">
    <w:name w:val="Heading 5 Char"/>
    <w:basedOn w:val="DefaultParagraphFont"/>
    <w:rPr>
      <w:rFonts w:ascii="Calibri Light" w:eastAsia="Times New Roman" w:hAnsi="Calibri Light" w:cs="Times New Roman"/>
      <w:color w:val="323E4F"/>
    </w:rPr>
  </w:style>
  <w:style w:type="character" w:customStyle="1" w:styleId="Heading6Char">
    <w:name w:val="Heading 6 Char"/>
    <w:basedOn w:val="DefaultParagraphFont"/>
    <w:rPr>
      <w:rFonts w:ascii="Calibri Light" w:eastAsia="Times New Roman" w:hAnsi="Calibri Light" w:cs="Times New Roman"/>
      <w:i/>
      <w:iCs/>
      <w:color w:val="323E4F"/>
    </w:rPr>
  </w:style>
  <w:style w:type="character" w:customStyle="1" w:styleId="Heading7Char">
    <w:name w:val="Heading 7 Char"/>
    <w:basedOn w:val="DefaultParagraphFont"/>
    <w:rPr>
      <w:rFonts w:ascii="Calibri Light" w:eastAsia="Times New Roman" w:hAnsi="Calibri Light" w:cs="Times New Roman"/>
      <w:i/>
      <w:iCs/>
      <w:color w:val="404040"/>
    </w:rPr>
  </w:style>
  <w:style w:type="character" w:customStyle="1" w:styleId="Heading8Char">
    <w:name w:val="Heading 8 Char"/>
    <w:basedOn w:val="DefaultParagraphFont"/>
    <w:rPr>
      <w:rFonts w:ascii="Calibri Light" w:eastAsia="Times New Roman" w:hAnsi="Calibri Light" w:cs="Times New Roman"/>
      <w:color w:val="404040"/>
      <w:sz w:val="20"/>
      <w:szCs w:val="20"/>
    </w:rPr>
  </w:style>
  <w:style w:type="character" w:customStyle="1" w:styleId="Heading9Char">
    <w:name w:val="Heading 9 Char"/>
    <w:basedOn w:val="DefaultParagraphFont"/>
    <w:rPr>
      <w:rFonts w:ascii="Calibri Light" w:eastAsia="Times New Roman" w:hAnsi="Calibri Light" w:cs="Times New Roman"/>
      <w:i/>
      <w:iCs/>
      <w:color w:val="404040"/>
      <w:sz w:val="20"/>
      <w:szCs w:val="20"/>
    </w:rPr>
  </w:style>
  <w:style w:type="paragraph" w:styleId="Caption">
    <w:name w:val="caption"/>
    <w:basedOn w:val="Normal"/>
    <w:next w:val="Normal"/>
    <w:pPr>
      <w:spacing w:after="200" w:line="240" w:lineRule="auto"/>
    </w:pPr>
    <w:rPr>
      <w:i/>
      <w:iCs/>
      <w:color w:val="44546A"/>
      <w:sz w:val="18"/>
      <w:szCs w:val="18"/>
    </w:rPr>
  </w:style>
  <w:style w:type="paragraph" w:styleId="Title">
    <w:name w:val="Title"/>
    <w:basedOn w:val="Normal"/>
    <w:next w:val="Normal"/>
    <w:uiPriority w:val="10"/>
    <w:qFormat/>
    <w:pPr>
      <w:spacing w:after="0" w:line="240" w:lineRule="auto"/>
      <w:contextualSpacing/>
    </w:pPr>
    <w:rPr>
      <w:rFonts w:ascii="Calibri Light" w:hAnsi="Calibri Light"/>
      <w:color w:val="000000"/>
      <w:sz w:val="56"/>
      <w:szCs w:val="56"/>
    </w:rPr>
  </w:style>
  <w:style w:type="character" w:customStyle="1" w:styleId="TitleChar">
    <w:name w:val="Title Char"/>
    <w:basedOn w:val="DefaultParagraphFont"/>
    <w:rPr>
      <w:rFonts w:ascii="Calibri Light" w:eastAsia="Times New Roman" w:hAnsi="Calibri Light" w:cs="Times New Roman"/>
      <w:color w:val="000000"/>
      <w:sz w:val="56"/>
      <w:szCs w:val="56"/>
    </w:rPr>
  </w:style>
  <w:style w:type="paragraph" w:styleId="Subtitle">
    <w:name w:val="Subtitle"/>
    <w:basedOn w:val="Normal"/>
    <w:next w:val="Normal"/>
    <w:uiPriority w:val="11"/>
    <w:qFormat/>
    <w:rPr>
      <w:color w:val="5A5A5A"/>
      <w:spacing w:val="10"/>
    </w:rPr>
  </w:style>
  <w:style w:type="character" w:customStyle="1" w:styleId="SubtitleChar">
    <w:name w:val="Subtitle Char"/>
    <w:basedOn w:val="DefaultParagraphFont"/>
    <w:rPr>
      <w:color w:val="5A5A5A"/>
      <w:spacing w:val="10"/>
    </w:rPr>
  </w:style>
  <w:style w:type="character" w:styleId="Strong">
    <w:name w:val="Strong"/>
    <w:basedOn w:val="DefaultParagraphFont"/>
    <w:rPr>
      <w:b/>
      <w:bCs/>
      <w:color w:val="000000"/>
    </w:rPr>
  </w:style>
  <w:style w:type="character" w:styleId="Emphasis">
    <w:name w:val="Emphasis"/>
    <w:basedOn w:val="DefaultParagraphFont"/>
    <w:rPr>
      <w:i/>
      <w:iCs/>
      <w:color w:val="auto"/>
    </w:rPr>
  </w:style>
  <w:style w:type="paragraph" w:styleId="NoSpacing">
    <w:name w:val="No Spacing"/>
    <w:pPr>
      <w:suppressAutoHyphens/>
      <w:spacing w:after="0" w:line="240" w:lineRule="auto"/>
    </w:pPr>
  </w:style>
  <w:style w:type="paragraph" w:styleId="Quote">
    <w:name w:val="Quote"/>
    <w:basedOn w:val="Normal"/>
    <w:next w:val="Normal"/>
    <w:pPr>
      <w:spacing w:before="160"/>
      <w:ind w:left="720" w:right="720"/>
    </w:pPr>
    <w:rPr>
      <w:i/>
      <w:iCs/>
      <w:color w:val="000000"/>
    </w:rPr>
  </w:style>
  <w:style w:type="character" w:customStyle="1" w:styleId="QuoteChar">
    <w:name w:val="Quote Char"/>
    <w:basedOn w:val="DefaultParagraphFont"/>
    <w:rPr>
      <w:i/>
      <w:iCs/>
      <w:color w:val="000000"/>
    </w:rPr>
  </w:style>
  <w:style w:type="paragraph" w:styleId="IntenseQuote">
    <w:name w:val="Intense Quote"/>
    <w:basedOn w:val="Normal"/>
    <w:next w:val="Normal"/>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rPr>
      <w:color w:val="000000"/>
      <w:shd w:val="clear" w:color="auto" w:fill="F2F2F2"/>
    </w:rPr>
  </w:style>
  <w:style w:type="character" w:styleId="SubtleEmphasis">
    <w:name w:val="Subtle Emphasis"/>
    <w:basedOn w:val="DefaultParagraphFont"/>
    <w:rPr>
      <w:i/>
      <w:iCs/>
      <w:color w:val="404040"/>
    </w:rPr>
  </w:style>
  <w:style w:type="character" w:styleId="IntenseEmphasis">
    <w:name w:val="Intense Emphasis"/>
    <w:basedOn w:val="DefaultParagraphFont"/>
    <w:rPr>
      <w:b/>
      <w:bCs/>
      <w:i/>
      <w:iCs/>
      <w:caps/>
    </w:rPr>
  </w:style>
  <w:style w:type="character" w:styleId="SubtleReference">
    <w:name w:val="Subtle Reference"/>
    <w:basedOn w:val="DefaultParagraphFont"/>
    <w:rPr>
      <w:smallCaps/>
      <w:color w:val="404040"/>
      <w:u w:val="single" w:color="7F7F7F"/>
    </w:rPr>
  </w:style>
  <w:style w:type="character" w:styleId="IntenseReference">
    <w:name w:val="Intense Reference"/>
    <w:basedOn w:val="DefaultParagraphFont"/>
    <w:rPr>
      <w:b/>
      <w:bCs/>
      <w:smallCaps/>
      <w:u w:val="single"/>
    </w:rPr>
  </w:style>
  <w:style w:type="character" w:styleId="BookTitle">
    <w:name w:val="Book Title"/>
    <w:basedOn w:val="DefaultParagraphFont"/>
    <w:rPr>
      <w:b w:val="0"/>
      <w:bCs w:val="0"/>
      <w:smallCaps/>
      <w:spacing w:val="5"/>
    </w:rPr>
  </w:style>
  <w:style w:type="paragraph" w:styleId="TOCHeading">
    <w:name w:val="TOC Heading"/>
    <w:basedOn w:val="Heading1"/>
    <w:next w:val="Normal"/>
    <w:pPr>
      <w:numPr>
        <w:numId w:val="4"/>
      </w:numPr>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39"/>
    <w:pPr>
      <w:spacing w:after="100"/>
      <w:ind w:left="440"/>
    </w:p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20">
    <w:name w:val="LFO20"/>
    <w:basedOn w:val="NoList"/>
    <w:pPr>
      <w:numPr>
        <w:numId w:val="4"/>
      </w:numPr>
    </w:pPr>
  </w:style>
  <w:style w:type="character" w:customStyle="1" w:styleId="FootnoteTextChar">
    <w:name w:val="Footnote Text Char"/>
    <w:basedOn w:val="DefaultParagraphFont"/>
    <w:link w:val="FootnoteText"/>
    <w:uiPriority w:val="99"/>
    <w:semiHidden/>
    <w:qFormat/>
    <w:rsid w:val="00FA07CC"/>
    <w:rPr>
      <w:sz w:val="20"/>
      <w:szCs w:val="20"/>
    </w:rPr>
  </w:style>
  <w:style w:type="character" w:customStyle="1" w:styleId="FootnoteCharacters">
    <w:name w:val="Footnote Characters"/>
    <w:basedOn w:val="DefaultParagraphFont"/>
    <w:uiPriority w:val="99"/>
    <w:semiHidden/>
    <w:unhideWhenUsed/>
    <w:qFormat/>
    <w:rsid w:val="00FA07CC"/>
    <w:rPr>
      <w:vertAlign w:val="superscript"/>
    </w:rPr>
  </w:style>
  <w:style w:type="character" w:customStyle="1" w:styleId="FootnoteAnchor">
    <w:name w:val="Footnote Anchor"/>
    <w:rsid w:val="00FA07CC"/>
    <w:rPr>
      <w:vertAlign w:val="superscript"/>
    </w:rPr>
  </w:style>
  <w:style w:type="paragraph" w:styleId="FootnoteText">
    <w:name w:val="footnote text"/>
    <w:basedOn w:val="Normal"/>
    <w:link w:val="FootnoteTextChar"/>
    <w:uiPriority w:val="99"/>
    <w:semiHidden/>
    <w:unhideWhenUsed/>
    <w:rsid w:val="00FA07CC"/>
    <w:pPr>
      <w:autoSpaceDN/>
      <w:spacing w:after="0" w:line="240" w:lineRule="auto"/>
    </w:pPr>
    <w:rPr>
      <w:sz w:val="20"/>
      <w:szCs w:val="20"/>
    </w:rPr>
  </w:style>
  <w:style w:type="character" w:customStyle="1" w:styleId="FootnoteTextChar1">
    <w:name w:val="Footnote Text Char1"/>
    <w:basedOn w:val="DefaultParagraphFont"/>
    <w:uiPriority w:val="99"/>
    <w:semiHidden/>
    <w:rsid w:val="00FA07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7274">
      <w:bodyDiv w:val="1"/>
      <w:marLeft w:val="0"/>
      <w:marRight w:val="0"/>
      <w:marTop w:val="0"/>
      <w:marBottom w:val="0"/>
      <w:divBdr>
        <w:top w:val="none" w:sz="0" w:space="0" w:color="auto"/>
        <w:left w:val="none" w:sz="0" w:space="0" w:color="auto"/>
        <w:bottom w:val="none" w:sz="0" w:space="0" w:color="auto"/>
        <w:right w:val="none" w:sz="0" w:space="0" w:color="auto"/>
      </w:divBdr>
    </w:div>
    <w:div w:id="77992954">
      <w:bodyDiv w:val="1"/>
      <w:marLeft w:val="0"/>
      <w:marRight w:val="0"/>
      <w:marTop w:val="0"/>
      <w:marBottom w:val="0"/>
      <w:divBdr>
        <w:top w:val="none" w:sz="0" w:space="0" w:color="auto"/>
        <w:left w:val="none" w:sz="0" w:space="0" w:color="auto"/>
        <w:bottom w:val="none" w:sz="0" w:space="0" w:color="auto"/>
        <w:right w:val="none" w:sz="0" w:space="0" w:color="auto"/>
      </w:divBdr>
    </w:div>
    <w:div w:id="218976282">
      <w:bodyDiv w:val="1"/>
      <w:marLeft w:val="0"/>
      <w:marRight w:val="0"/>
      <w:marTop w:val="0"/>
      <w:marBottom w:val="0"/>
      <w:divBdr>
        <w:top w:val="none" w:sz="0" w:space="0" w:color="auto"/>
        <w:left w:val="none" w:sz="0" w:space="0" w:color="auto"/>
        <w:bottom w:val="none" w:sz="0" w:space="0" w:color="auto"/>
        <w:right w:val="none" w:sz="0" w:space="0" w:color="auto"/>
      </w:divBdr>
    </w:div>
    <w:div w:id="222180222">
      <w:bodyDiv w:val="1"/>
      <w:marLeft w:val="0"/>
      <w:marRight w:val="0"/>
      <w:marTop w:val="0"/>
      <w:marBottom w:val="0"/>
      <w:divBdr>
        <w:top w:val="none" w:sz="0" w:space="0" w:color="auto"/>
        <w:left w:val="none" w:sz="0" w:space="0" w:color="auto"/>
        <w:bottom w:val="none" w:sz="0" w:space="0" w:color="auto"/>
        <w:right w:val="none" w:sz="0" w:space="0" w:color="auto"/>
      </w:divBdr>
    </w:div>
    <w:div w:id="578488564">
      <w:bodyDiv w:val="1"/>
      <w:marLeft w:val="0"/>
      <w:marRight w:val="0"/>
      <w:marTop w:val="0"/>
      <w:marBottom w:val="0"/>
      <w:divBdr>
        <w:top w:val="none" w:sz="0" w:space="0" w:color="auto"/>
        <w:left w:val="none" w:sz="0" w:space="0" w:color="auto"/>
        <w:bottom w:val="none" w:sz="0" w:space="0" w:color="auto"/>
        <w:right w:val="none" w:sz="0" w:space="0" w:color="auto"/>
      </w:divBdr>
    </w:div>
    <w:div w:id="721246938">
      <w:bodyDiv w:val="1"/>
      <w:marLeft w:val="0"/>
      <w:marRight w:val="0"/>
      <w:marTop w:val="0"/>
      <w:marBottom w:val="0"/>
      <w:divBdr>
        <w:top w:val="none" w:sz="0" w:space="0" w:color="auto"/>
        <w:left w:val="none" w:sz="0" w:space="0" w:color="auto"/>
        <w:bottom w:val="none" w:sz="0" w:space="0" w:color="auto"/>
        <w:right w:val="none" w:sz="0" w:space="0" w:color="auto"/>
      </w:divBdr>
    </w:div>
    <w:div w:id="806556578">
      <w:bodyDiv w:val="1"/>
      <w:marLeft w:val="0"/>
      <w:marRight w:val="0"/>
      <w:marTop w:val="0"/>
      <w:marBottom w:val="0"/>
      <w:divBdr>
        <w:top w:val="none" w:sz="0" w:space="0" w:color="auto"/>
        <w:left w:val="none" w:sz="0" w:space="0" w:color="auto"/>
        <w:bottom w:val="none" w:sz="0" w:space="0" w:color="auto"/>
        <w:right w:val="none" w:sz="0" w:space="0" w:color="auto"/>
      </w:divBdr>
    </w:div>
    <w:div w:id="850416353">
      <w:bodyDiv w:val="1"/>
      <w:marLeft w:val="0"/>
      <w:marRight w:val="0"/>
      <w:marTop w:val="0"/>
      <w:marBottom w:val="0"/>
      <w:divBdr>
        <w:top w:val="none" w:sz="0" w:space="0" w:color="auto"/>
        <w:left w:val="none" w:sz="0" w:space="0" w:color="auto"/>
        <w:bottom w:val="none" w:sz="0" w:space="0" w:color="auto"/>
        <w:right w:val="none" w:sz="0" w:space="0" w:color="auto"/>
      </w:divBdr>
    </w:div>
    <w:div w:id="977344702">
      <w:bodyDiv w:val="1"/>
      <w:marLeft w:val="0"/>
      <w:marRight w:val="0"/>
      <w:marTop w:val="0"/>
      <w:marBottom w:val="0"/>
      <w:divBdr>
        <w:top w:val="none" w:sz="0" w:space="0" w:color="auto"/>
        <w:left w:val="none" w:sz="0" w:space="0" w:color="auto"/>
        <w:bottom w:val="none" w:sz="0" w:space="0" w:color="auto"/>
        <w:right w:val="none" w:sz="0" w:space="0" w:color="auto"/>
      </w:divBdr>
    </w:div>
    <w:div w:id="1318920037">
      <w:bodyDiv w:val="1"/>
      <w:marLeft w:val="0"/>
      <w:marRight w:val="0"/>
      <w:marTop w:val="0"/>
      <w:marBottom w:val="0"/>
      <w:divBdr>
        <w:top w:val="none" w:sz="0" w:space="0" w:color="auto"/>
        <w:left w:val="none" w:sz="0" w:space="0" w:color="auto"/>
        <w:bottom w:val="none" w:sz="0" w:space="0" w:color="auto"/>
        <w:right w:val="none" w:sz="0" w:space="0" w:color="auto"/>
      </w:divBdr>
    </w:div>
    <w:div w:id="1340040081">
      <w:bodyDiv w:val="1"/>
      <w:marLeft w:val="0"/>
      <w:marRight w:val="0"/>
      <w:marTop w:val="0"/>
      <w:marBottom w:val="0"/>
      <w:divBdr>
        <w:top w:val="none" w:sz="0" w:space="0" w:color="auto"/>
        <w:left w:val="none" w:sz="0" w:space="0" w:color="auto"/>
        <w:bottom w:val="none" w:sz="0" w:space="0" w:color="auto"/>
        <w:right w:val="none" w:sz="0" w:space="0" w:color="auto"/>
      </w:divBdr>
    </w:div>
    <w:div w:id="1380014909">
      <w:bodyDiv w:val="1"/>
      <w:marLeft w:val="0"/>
      <w:marRight w:val="0"/>
      <w:marTop w:val="0"/>
      <w:marBottom w:val="0"/>
      <w:divBdr>
        <w:top w:val="none" w:sz="0" w:space="0" w:color="auto"/>
        <w:left w:val="none" w:sz="0" w:space="0" w:color="auto"/>
        <w:bottom w:val="none" w:sz="0" w:space="0" w:color="auto"/>
        <w:right w:val="none" w:sz="0" w:space="0" w:color="auto"/>
      </w:divBdr>
    </w:div>
    <w:div w:id="1585451197">
      <w:bodyDiv w:val="1"/>
      <w:marLeft w:val="0"/>
      <w:marRight w:val="0"/>
      <w:marTop w:val="0"/>
      <w:marBottom w:val="0"/>
      <w:divBdr>
        <w:top w:val="none" w:sz="0" w:space="0" w:color="auto"/>
        <w:left w:val="none" w:sz="0" w:space="0" w:color="auto"/>
        <w:bottom w:val="none" w:sz="0" w:space="0" w:color="auto"/>
        <w:right w:val="none" w:sz="0" w:space="0" w:color="auto"/>
      </w:divBdr>
    </w:div>
    <w:div w:id="1624190403">
      <w:bodyDiv w:val="1"/>
      <w:marLeft w:val="0"/>
      <w:marRight w:val="0"/>
      <w:marTop w:val="0"/>
      <w:marBottom w:val="0"/>
      <w:divBdr>
        <w:top w:val="none" w:sz="0" w:space="0" w:color="auto"/>
        <w:left w:val="none" w:sz="0" w:space="0" w:color="auto"/>
        <w:bottom w:val="none" w:sz="0" w:space="0" w:color="auto"/>
        <w:right w:val="none" w:sz="0" w:space="0" w:color="auto"/>
      </w:divBdr>
    </w:div>
    <w:div w:id="1642923498">
      <w:bodyDiv w:val="1"/>
      <w:marLeft w:val="0"/>
      <w:marRight w:val="0"/>
      <w:marTop w:val="0"/>
      <w:marBottom w:val="0"/>
      <w:divBdr>
        <w:top w:val="none" w:sz="0" w:space="0" w:color="auto"/>
        <w:left w:val="none" w:sz="0" w:space="0" w:color="auto"/>
        <w:bottom w:val="none" w:sz="0" w:space="0" w:color="auto"/>
        <w:right w:val="none" w:sz="0" w:space="0" w:color="auto"/>
      </w:divBdr>
    </w:div>
    <w:div w:id="1734502358">
      <w:bodyDiv w:val="1"/>
      <w:marLeft w:val="0"/>
      <w:marRight w:val="0"/>
      <w:marTop w:val="0"/>
      <w:marBottom w:val="0"/>
      <w:divBdr>
        <w:top w:val="none" w:sz="0" w:space="0" w:color="auto"/>
        <w:left w:val="none" w:sz="0" w:space="0" w:color="auto"/>
        <w:bottom w:val="none" w:sz="0" w:space="0" w:color="auto"/>
        <w:right w:val="none" w:sz="0" w:space="0" w:color="auto"/>
      </w:divBdr>
    </w:div>
    <w:div w:id="1772820663">
      <w:bodyDiv w:val="1"/>
      <w:marLeft w:val="0"/>
      <w:marRight w:val="0"/>
      <w:marTop w:val="0"/>
      <w:marBottom w:val="0"/>
      <w:divBdr>
        <w:top w:val="none" w:sz="0" w:space="0" w:color="auto"/>
        <w:left w:val="none" w:sz="0" w:space="0" w:color="auto"/>
        <w:bottom w:val="none" w:sz="0" w:space="0" w:color="auto"/>
        <w:right w:val="none" w:sz="0" w:space="0" w:color="auto"/>
      </w:divBdr>
    </w:div>
    <w:div w:id="184362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ta.a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BA45-C87B-4BE9-8CDA-4BBB2995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Frank | AFTA</dc:creator>
  <dc:description/>
  <cp:lastModifiedBy>Armand Frank | AFTA</cp:lastModifiedBy>
  <cp:revision>3</cp:revision>
  <cp:lastPrinted>2022-11-24T14:48:00Z</cp:lastPrinted>
  <dcterms:created xsi:type="dcterms:W3CDTF">2025-01-24T19:07:00Z</dcterms:created>
  <dcterms:modified xsi:type="dcterms:W3CDTF">2025-01-24T19:08:00Z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0x0101009C67480CF0D40144BABD2DA386977A30</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